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(НОКОД)</w:t>
      </w:r>
    </w:p>
    <w:p w:rsidR="006F33B8" w:rsidRPr="00395168" w:rsidRDefault="00395168" w:rsidP="00147F09">
      <w:pPr>
        <w:widowControl w:val="0"/>
        <w:tabs>
          <w:tab w:val="center" w:pos="5244"/>
          <w:tab w:val="left" w:pos="9356"/>
        </w:tabs>
        <w:autoSpaceDE w:val="0"/>
        <w:autoSpaceDN w:val="0"/>
        <w:adjustRightInd w:val="0"/>
        <w:spacing w:line="240" w:lineRule="auto"/>
        <w:jc w:val="center"/>
        <w:rPr>
          <w:b/>
          <w:color w:val="000000"/>
          <w:sz w:val="32"/>
          <w:szCs w:val="32"/>
        </w:rPr>
      </w:pPr>
      <w:r w:rsidRPr="00395168">
        <w:rPr>
          <w:rFonts w:eastAsia="Times New Roman" w:cs="Times New Roman"/>
          <w:color w:val="000000"/>
          <w:sz w:val="32"/>
          <w:szCs w:val="32"/>
          <w:lang w:eastAsia="ru-RU"/>
        </w:rPr>
        <w:t>Муниципальное казённое дошкольное образовательное у</w:t>
      </w:r>
      <w:r>
        <w:rPr>
          <w:rFonts w:eastAsia="Times New Roman" w:cs="Times New Roman"/>
          <w:color w:val="000000"/>
          <w:sz w:val="32"/>
          <w:szCs w:val="32"/>
          <w:lang w:eastAsia="ru-RU"/>
        </w:rPr>
        <w:t xml:space="preserve">чреждение «Детский сад «Северок» с. </w:t>
      </w:r>
      <w:r w:rsidRPr="00395168">
        <w:rPr>
          <w:rFonts w:eastAsia="Times New Roman" w:cs="Times New Roman"/>
          <w:color w:val="000000"/>
          <w:sz w:val="32"/>
          <w:szCs w:val="32"/>
          <w:lang w:eastAsia="ru-RU"/>
        </w:rPr>
        <w:t>Ванавара»</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Независимая оценка качества образовательной деятельности (НОКОД) на территории Эвенкийского муниципального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w:t>
      </w:r>
      <w:proofErr w:type="gramStart"/>
      <w:r>
        <w:rPr>
          <w:rFonts w:cs="Times New Roman"/>
          <w:sz w:val="24"/>
          <w:szCs w:val="24"/>
        </w:rPr>
        <w:t>Независимой организацией-исполнителем (Оператором) работ по проведению НОКОД муниципальных образовательных организаций Эвенкийского муниципального района выступила Автономная некоммерческая организация (АНО) «Красноярский региональный центр поддержки местных сообществ «Развитие», с которой Управлением образования администрации Эвенкийского муниципального района был заключён соответствующий муниципальный контракт на проведение НОКОД</w:t>
      </w:r>
      <w:r>
        <w:rPr>
          <w:rFonts w:cs="Times New Roman"/>
          <w:color w:val="FF0000"/>
          <w:sz w:val="24"/>
          <w:szCs w:val="24"/>
        </w:rPr>
        <w:t>.</w:t>
      </w:r>
      <w:proofErr w:type="gramEnd"/>
      <w:r>
        <w:rPr>
          <w:rFonts w:cs="Times New Roman"/>
          <w:color w:val="FF0000"/>
          <w:sz w:val="24"/>
          <w:szCs w:val="24"/>
        </w:rPr>
        <w:t xml:space="preserve"> </w:t>
      </w:r>
      <w:r>
        <w:rPr>
          <w:color w:val="000000"/>
          <w:sz w:val="24"/>
          <w:szCs w:val="24"/>
        </w:rPr>
        <w:t>Нормативно-правовой базой для организации проведения НОКОД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Минобрнауки РФ от 10.12.2013 № 1324 "Об утверждении показателей деятельности образовательной организации, подлежащей самообследованию";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Письмо Минобрнауки России от 14.09.2016 № 02-860 "О направлении Методических рекомендаций" (вместе с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Минобрнауки России 15.09.2016 № АП-87/02вн).</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В соответствии с муниципальным контрактом Оператор НОКОД должен был выполнить следующие виды работ:</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разработка методики сбора, обобщения и анализа информации для целей проведения НОКОД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Эвенкийского муниципального района для проведения независимой оценки качества оказания услуг);</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редставление информации о результатах мониторинга качества образовательной деятельности организаций для проведения НОКОД организаций и проекта итоговых аналитических материалов в ОС.</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НОКОД была разработка методологии и методики сбора, обработки и анализа информации в рамках </w:t>
      </w:r>
      <w:r>
        <w:rPr>
          <w:color w:val="000000"/>
          <w:sz w:val="24"/>
          <w:szCs w:val="24"/>
        </w:rPr>
        <w:lastRenderedPageBreak/>
        <w:t xml:space="preserve">исследовательско-аналитических процедур НОКОД. Оператором был рассмотрен и проанализирован объёмный перечень регламентирующих и рекомендательных материалов, касающихся вопросов проведения НОКОД в Российской Федерации, а также был изучен опыт проведения НОКОД разными организациями на территории различных регионов России. На основе полученной информации </w:t>
      </w:r>
      <w:r>
        <w:rPr>
          <w:sz w:val="24"/>
          <w:szCs w:val="24"/>
        </w:rPr>
        <w:t>Оператором была разработана собственная содержательно-процессуальная модель организации и проведения НОКОД для организации НОКОД в Эвенкийском муниципальном районе</w:t>
      </w:r>
      <w:r>
        <w:rPr>
          <w:strike/>
          <w:sz w:val="24"/>
          <w:szCs w:val="24"/>
        </w:rPr>
        <w:t>.</w:t>
      </w:r>
      <w:r>
        <w:rPr>
          <w:sz w:val="24"/>
          <w:szCs w:val="24"/>
        </w:rPr>
        <w:t xml:space="preserve"> Разработанная Оператором содержательно-процессуальная модель (СПМ) НОКОД в большей степени приближена</w:t>
      </w:r>
      <w:r>
        <w:rPr>
          <w:color w:val="000000"/>
          <w:sz w:val="24"/>
          <w:szCs w:val="24"/>
        </w:rPr>
        <w:t xml:space="preserve"> к целевой аудитории образовательных процессов (детской и родительской) по сравнению с существующими на федеральном уровне унифицированными рекомендательными модельными предложениями для НОКОД.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color w:val="000000"/>
          <w:sz w:val="24"/>
          <w:szCs w:val="24"/>
        </w:rPr>
      </w:pPr>
      <w:proofErr w:type="gramStart"/>
      <w:r>
        <w:rPr>
          <w:color w:val="000000"/>
          <w:sz w:val="24"/>
          <w:szCs w:val="24"/>
        </w:rPr>
        <w:t>Для реализации действий по СПМ НОКОД Оператором были разработаны собственные исследовательско-аналитические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(чек-листы) и др. (Приложения к отчету), спроектированы принципы, форматы, механизмы и процедуры целевых взаимодействий (коммуникаций) представителей исследовательско-аналитической группы Оператора с представителями образовательных организаций и участниками образовательных процессов (обучающимися и</w:t>
      </w:r>
      <w:proofErr w:type="gramEnd"/>
      <w:r>
        <w:rPr>
          <w:color w:val="000000"/>
          <w:sz w:val="24"/>
          <w:szCs w:val="24"/>
        </w:rPr>
        <w:t xml:space="preserve"> их родителями (законными представителями) для сбора исследовательских данных. </w:t>
      </w:r>
    </w:p>
    <w:p w:rsidR="00D34AD1" w:rsidRDefault="00D34AD1" w:rsidP="00D34AD1">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Все исследовательско-аналитические формы и процедуры были согласованы Оператором с заказчиком </w:t>
      </w:r>
      <w:r>
        <w:rPr>
          <w:sz w:val="24"/>
          <w:szCs w:val="24"/>
        </w:rPr>
        <w:t xml:space="preserve">НОКОД </w:t>
      </w:r>
      <w:r>
        <w:rPr>
          <w:rFonts w:eastAsia="Times New Roman" w:cs="Times New Roman"/>
          <w:sz w:val="24"/>
          <w:szCs w:val="24"/>
          <w:lang w:eastAsia="ru-RU"/>
        </w:rPr>
        <w:t>(Управлением образования администрации Эвенкийского муниципального района).</w:t>
      </w:r>
      <w:r>
        <w:rPr>
          <w:sz w:val="24"/>
          <w:szCs w:val="24"/>
        </w:rPr>
        <w:t xml:space="preserve"> </w:t>
      </w:r>
    </w:p>
    <w:p w:rsidR="00FE7CE0" w:rsidRPr="003814FB" w:rsidRDefault="00D34AD1" w:rsidP="00D34AD1">
      <w:pPr>
        <w:widowControl w:val="0"/>
        <w:tabs>
          <w:tab w:val="center" w:pos="5244"/>
          <w:tab w:val="left" w:pos="9356"/>
        </w:tabs>
        <w:autoSpaceDE w:val="0"/>
        <w:autoSpaceDN w:val="0"/>
        <w:adjustRightInd w:val="0"/>
        <w:spacing w:after="0" w:line="240" w:lineRule="auto"/>
        <w:contextualSpacing/>
        <w:jc w:val="both"/>
        <w:rPr>
          <w:strike/>
          <w:color w:val="FF0000"/>
          <w:sz w:val="24"/>
          <w:szCs w:val="24"/>
        </w:rPr>
      </w:pPr>
      <w:r>
        <w:rPr>
          <w:sz w:val="24"/>
          <w:szCs w:val="24"/>
        </w:rPr>
        <w:t xml:space="preserve">Дальнейшими этапами работы Оператора по проведению НОКОД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Перечисленные действия Оператором были выполнены в сроки, определённые муниципальным контрактом. В результате этих действий Оператором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Эвенкийского муниципального района, где проводилась НОКОД. Общее количество образовательных организаций Эвенкийского муниципального района – объектов исследования и оценки, где проводилась НОКОД в октябре 2017 года – 19 муниципальных дошкольных образовательных учреждений.</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Исследование и аналитическая оценка проводилось с использованием исследовательско-аналитических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(БАФ). БАФ – самая мелкая аналитическая учётная единица, оценочная информационно-аналитическая позиция, включаемая в аналитический массив (базу) исследовательских данных. Число БАФов определяет количество разных структурных информационных позиций для анализа. Каждый БАФ – автономная аналитическая единица, для которой разработан индивидуальный измерительно-оценочный и учётно-статистический алгоритм. </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lastRenderedPageBreak/>
        <w:t xml:space="preserve">Структурной единицей основного аналитического уровня является аналитический параметр, именуемых словом «показатель». Показатель состоит и БАФов.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БАФов. Системный анализ по НОКОД строится главным образом на основе исследования значений разных показателей, поэтому показатель – единица основного аналитического уровня. </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 данном исследовании все  показателей разбиты на смысло-целевые группы критериев (СОШ – 4 критерия, ДОУ – 4 критерия).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БАФы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БАФу. Все оценочные веса БАФов определены инструктивно-методическим регламентом исследования, разработанным Оператором, их численные значения  заданы однозначно.  </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БАФам, входящим в показатель. Оценочный вес критерия – сумма оценочных весов, включённых в него показателей. </w:t>
      </w:r>
    </w:p>
    <w:p w:rsidR="00FE7CE0" w:rsidRPr="003814FB" w:rsidRDefault="00FE7CE0" w:rsidP="00FE7CE0">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БАФов, показателей, критериев и их оценочных весов, определен технологической формой «Алгоритм расчета баллов по итогам сбора и анализа информации» –  методическо-инструктивным элементом разработанного Оператором исследовательско-аналитического инструментария. (Для общеобразовательных и дошкольных учреждений разработаны разные алгоритмы). </w:t>
      </w:r>
    </w:p>
    <w:p w:rsidR="00FE7CE0" w:rsidRPr="003814FB" w:rsidRDefault="00FE7CE0" w:rsidP="00FE7CE0">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FE7CE0" w:rsidRPr="003814FB" w:rsidRDefault="00FE7CE0" w:rsidP="00FE7CE0">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фактологические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FE7CE0" w:rsidRPr="003814FB" w:rsidRDefault="00FE7CE0" w:rsidP="00FE7CE0">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FE7CE0" w:rsidRPr="003814FB" w:rsidRDefault="00FE7CE0" w:rsidP="00FE7CE0">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FE7CE0" w:rsidRPr="003814FB" w:rsidRDefault="00FE7CE0" w:rsidP="00FE7CE0">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FE7CE0" w:rsidRPr="003814FB" w:rsidRDefault="00FE7CE0" w:rsidP="00FE7CE0">
      <w:pPr>
        <w:pStyle w:val="a4"/>
        <w:numPr>
          <w:ilvl w:val="0"/>
          <w:numId w:val="3"/>
        </w:numPr>
        <w:spacing w:line="240" w:lineRule="auto"/>
        <w:jc w:val="both"/>
        <w:rPr>
          <w:color w:val="000000"/>
          <w:sz w:val="24"/>
          <w:szCs w:val="24"/>
        </w:rPr>
      </w:pPr>
      <w:r w:rsidRPr="003814FB">
        <w:rPr>
          <w:color w:val="000000"/>
          <w:sz w:val="24"/>
          <w:szCs w:val="24"/>
        </w:rPr>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БАФа. </w:t>
      </w:r>
    </w:p>
    <w:p w:rsidR="00FE7CE0" w:rsidRPr="003814FB" w:rsidRDefault="00FE7CE0" w:rsidP="00FE7CE0">
      <w:pPr>
        <w:pStyle w:val="a4"/>
        <w:numPr>
          <w:ilvl w:val="0"/>
          <w:numId w:val="3"/>
        </w:numPr>
        <w:spacing w:line="240" w:lineRule="auto"/>
        <w:jc w:val="both"/>
        <w:rPr>
          <w:color w:val="000000"/>
          <w:sz w:val="24"/>
          <w:szCs w:val="24"/>
        </w:rPr>
      </w:pPr>
      <w:proofErr w:type="gramStart"/>
      <w:r w:rsidRPr="003814FB">
        <w:rPr>
          <w:color w:val="000000"/>
          <w:sz w:val="24"/>
          <w:szCs w:val="24"/>
        </w:rPr>
        <w:t xml:space="preserve">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w:t>
      </w:r>
      <w:r w:rsidRPr="003814FB">
        <w:rPr>
          <w:color w:val="000000"/>
          <w:sz w:val="24"/>
          <w:szCs w:val="24"/>
        </w:rPr>
        <w:lastRenderedPageBreak/>
        <w:t>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БАФов. </w:t>
      </w:r>
    </w:p>
    <w:p w:rsidR="00FE7CE0" w:rsidRPr="003814FB" w:rsidRDefault="00FE7CE0" w:rsidP="00FE7CE0">
      <w:pPr>
        <w:widowControl w:val="0"/>
        <w:spacing w:after="0" w:line="240" w:lineRule="auto"/>
        <w:contextualSpacing/>
        <w:jc w:val="both"/>
        <w:rPr>
          <w:sz w:val="24"/>
          <w:szCs w:val="24"/>
        </w:rPr>
      </w:pPr>
      <w:r w:rsidRPr="003814FB">
        <w:rPr>
          <w:sz w:val="24"/>
          <w:szCs w:val="24"/>
        </w:rPr>
        <w:t>В разработанной Оператором аналитической модели исследования в рамках НОКОД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FE7CE0" w:rsidRPr="003814FB" w:rsidRDefault="00FE7CE0" w:rsidP="00FE7CE0">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(БАФ).</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деятельностный пласт в работе образовательной организации.</w:t>
      </w:r>
    </w:p>
    <w:p w:rsidR="00FE7CE0" w:rsidRPr="003814FB" w:rsidRDefault="00FE7CE0" w:rsidP="00FE7CE0">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FE7CE0" w:rsidRPr="003814FB" w:rsidRDefault="00FE7CE0" w:rsidP="00FE7CE0">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FE7CE0" w:rsidRPr="003814FB" w:rsidRDefault="00FE7CE0" w:rsidP="00FE7CE0">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НОКОД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«восьмидесятипроцентоном  уровне» можно применять к отдельным показателям и даже к БАФам как определённый целевой ориентир. </w:t>
      </w:r>
    </w:p>
    <w:p w:rsidR="00FE7CE0" w:rsidRPr="003814FB" w:rsidRDefault="00FE7CE0" w:rsidP="00FE7CE0">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FE7CE0" w:rsidP="00FE7CE0">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FE7CE0" w:rsidRDefault="00FE7CE0" w:rsidP="004B63DD">
      <w:pPr>
        <w:jc w:val="center"/>
        <w:rPr>
          <w:b/>
          <w:color w:val="000000"/>
          <w:sz w:val="24"/>
          <w:szCs w:val="24"/>
        </w:rPr>
      </w:pPr>
    </w:p>
    <w:p w:rsidR="00485DD4" w:rsidRDefault="004B63DD" w:rsidP="004B63DD">
      <w:pPr>
        <w:jc w:val="center"/>
        <w:rPr>
          <w:b/>
          <w:color w:val="000000"/>
          <w:sz w:val="24"/>
          <w:szCs w:val="24"/>
        </w:rPr>
      </w:pPr>
      <w:r>
        <w:rPr>
          <w:b/>
          <w:color w:val="000000"/>
          <w:sz w:val="24"/>
          <w:szCs w:val="24"/>
        </w:rPr>
        <w:t>Анализ оценочных ур</w:t>
      </w:r>
      <w:r w:rsidR="00395168">
        <w:rPr>
          <w:b/>
          <w:color w:val="000000"/>
          <w:sz w:val="24"/>
          <w:szCs w:val="24"/>
        </w:rPr>
        <w:t xml:space="preserve">овней организации работы ДОУ </w:t>
      </w:r>
      <w:r>
        <w:rPr>
          <w:b/>
          <w:color w:val="000000"/>
          <w:sz w:val="24"/>
          <w:szCs w:val="24"/>
        </w:rPr>
        <w:t>по всем аналитическим позициям НОКОД</w:t>
      </w:r>
    </w:p>
    <w:tbl>
      <w:tblPr>
        <w:tblW w:w="155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tblPr>
      <w:tblGrid>
        <w:gridCol w:w="851"/>
        <w:gridCol w:w="1559"/>
        <w:gridCol w:w="10348"/>
        <w:gridCol w:w="696"/>
        <w:gridCol w:w="696"/>
        <w:gridCol w:w="696"/>
        <w:gridCol w:w="696"/>
      </w:tblGrid>
      <w:tr w:rsidR="00395168" w:rsidTr="00D34AD1">
        <w:trPr>
          <w:trHeight w:val="170"/>
        </w:trPr>
        <w:tc>
          <w:tcPr>
            <w:tcW w:w="851" w:type="dxa"/>
            <w:tcBorders>
              <w:bottom w:val="single" w:sz="4" w:space="0" w:color="auto"/>
            </w:tcBorders>
            <w:shd w:val="clear" w:color="000000" w:fill="99FFCC"/>
            <w:noWrap/>
            <w:tcMar>
              <w:top w:w="15" w:type="dxa"/>
              <w:left w:w="85" w:type="dxa"/>
              <w:bottom w:w="0" w:type="dxa"/>
              <w:right w:w="85" w:type="dxa"/>
            </w:tcMar>
            <w:hideMark/>
          </w:tcPr>
          <w:p w:rsidR="00395168" w:rsidRPr="009D7790" w:rsidRDefault="00395168" w:rsidP="00D34AD1">
            <w:pPr>
              <w:spacing w:after="0" w:line="216" w:lineRule="auto"/>
              <w:contextualSpacing/>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max</w:t>
            </w:r>
          </w:p>
          <w:p w:rsidR="00395168" w:rsidRPr="00D45977" w:rsidRDefault="00395168" w:rsidP="00D34AD1">
            <w:pPr>
              <w:spacing w:after="0" w:line="216" w:lineRule="auto"/>
              <w:contextualSpacing/>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59" w:type="dxa"/>
            <w:tcBorders>
              <w:bottom w:val="single" w:sz="4" w:space="0" w:color="auto"/>
            </w:tcBorders>
            <w:shd w:val="clear" w:color="000000" w:fill="99FFCC"/>
            <w:tcMar>
              <w:top w:w="15" w:type="dxa"/>
              <w:left w:w="85" w:type="dxa"/>
              <w:bottom w:w="0" w:type="dxa"/>
              <w:right w:w="85" w:type="dxa"/>
            </w:tcMar>
            <w:hideMark/>
          </w:tcPr>
          <w:p w:rsidR="00395168" w:rsidRPr="009D7790" w:rsidRDefault="00395168" w:rsidP="00D34AD1">
            <w:pPr>
              <w:spacing w:after="0" w:line="216" w:lineRule="auto"/>
              <w:contextualSpacing/>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348" w:type="dxa"/>
            <w:tcBorders>
              <w:bottom w:val="single" w:sz="4" w:space="0" w:color="auto"/>
            </w:tcBorders>
            <w:shd w:val="clear" w:color="000000" w:fill="99FFCC"/>
            <w:tcMar>
              <w:left w:w="85" w:type="dxa"/>
              <w:right w:w="85" w:type="dxa"/>
            </w:tcMar>
          </w:tcPr>
          <w:p w:rsidR="00395168" w:rsidRPr="009D7790" w:rsidRDefault="00395168" w:rsidP="00D34AD1">
            <w:pPr>
              <w:spacing w:after="0" w:line="216" w:lineRule="auto"/>
              <w:contextualSpacing/>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r w:rsidRPr="009D7790">
              <w:rPr>
                <w:rFonts w:ascii="Calibri" w:eastAsia="Times New Roman" w:hAnsi="Calibri" w:cs="Times New Roman"/>
                <w:b/>
                <w:color w:val="006100"/>
                <w:sz w:val="20"/>
                <w:szCs w:val="20"/>
                <w:lang w:eastAsia="ru-RU"/>
              </w:rPr>
              <w:t>нформация об аналитических факторах</w:t>
            </w:r>
          </w:p>
        </w:tc>
        <w:tc>
          <w:tcPr>
            <w:tcW w:w="696" w:type="dxa"/>
            <w:shd w:val="clear" w:color="000000" w:fill="99FFCC"/>
            <w:tcMar>
              <w:top w:w="15" w:type="dxa"/>
              <w:left w:w="85" w:type="dxa"/>
              <w:bottom w:w="0" w:type="dxa"/>
              <w:right w:w="85" w:type="dxa"/>
            </w:tcMar>
            <w:hideMark/>
          </w:tcPr>
          <w:p w:rsidR="00395168" w:rsidRDefault="00395168" w:rsidP="00D34AD1">
            <w:pPr>
              <w:spacing w:after="0"/>
              <w:contextualSpacing/>
              <w:rPr>
                <w:rFonts w:ascii="Calibri" w:hAnsi="Calibri"/>
                <w:b/>
                <w:bCs/>
              </w:rPr>
            </w:pPr>
            <w:r>
              <w:rPr>
                <w:rFonts w:ascii="Calibri" w:hAnsi="Calibri"/>
                <w:b/>
                <w:bCs/>
              </w:rPr>
              <w:t>17.</w:t>
            </w:r>
          </w:p>
        </w:tc>
        <w:tc>
          <w:tcPr>
            <w:tcW w:w="696" w:type="dxa"/>
            <w:shd w:val="clear" w:color="000000" w:fill="99FFCC"/>
            <w:noWrap/>
            <w:tcMar>
              <w:top w:w="15" w:type="dxa"/>
              <w:left w:w="28" w:type="dxa"/>
              <w:bottom w:w="0" w:type="dxa"/>
              <w:right w:w="28" w:type="dxa"/>
            </w:tcMar>
            <w:hideMark/>
          </w:tcPr>
          <w:p w:rsidR="00395168" w:rsidRPr="007D1072" w:rsidRDefault="00395168" w:rsidP="00D34AD1">
            <w:pPr>
              <w:spacing w:after="0"/>
              <w:contextualSpacing/>
              <w:rPr>
                <w:rFonts w:ascii="Calibri" w:hAnsi="Calibri"/>
                <w:bCs/>
                <w:i/>
                <w:sz w:val="18"/>
                <w:szCs w:val="18"/>
              </w:rPr>
            </w:pPr>
            <w:r w:rsidRPr="007D1072">
              <w:rPr>
                <w:rFonts w:ascii="Calibri" w:hAnsi="Calibri"/>
                <w:bCs/>
                <w:i/>
                <w:sz w:val="18"/>
                <w:szCs w:val="18"/>
                <w:lang w:val="en-US"/>
              </w:rPr>
              <w:t>c</w:t>
            </w:r>
            <w:r w:rsidRPr="007D1072">
              <w:rPr>
                <w:rFonts w:ascii="Calibri" w:hAnsi="Calibri"/>
                <w:bCs/>
                <w:i/>
                <w:sz w:val="18"/>
                <w:szCs w:val="18"/>
              </w:rPr>
              <w:t>реднее</w:t>
            </w:r>
          </w:p>
        </w:tc>
        <w:tc>
          <w:tcPr>
            <w:tcW w:w="696" w:type="dxa"/>
            <w:shd w:val="clear" w:color="000000" w:fill="FF0000"/>
            <w:noWrap/>
            <w:tcMar>
              <w:top w:w="15" w:type="dxa"/>
              <w:left w:w="85" w:type="dxa"/>
              <w:bottom w:w="0" w:type="dxa"/>
              <w:right w:w="85" w:type="dxa"/>
            </w:tcMar>
            <w:hideMark/>
          </w:tcPr>
          <w:p w:rsidR="00395168" w:rsidRPr="00485DD4" w:rsidRDefault="00395168" w:rsidP="00D34AD1">
            <w:pPr>
              <w:spacing w:after="0"/>
              <w:contextualSpacing/>
              <w:rPr>
                <w:rFonts w:ascii="Calibri" w:hAnsi="Calibri"/>
                <w:b/>
                <w:bCs/>
                <w:color w:val="FFFF00"/>
                <w:sz w:val="20"/>
                <w:szCs w:val="20"/>
              </w:rPr>
            </w:pPr>
            <w:r w:rsidRPr="00485DD4">
              <w:rPr>
                <w:rFonts w:ascii="Calibri" w:hAnsi="Calibri"/>
                <w:b/>
                <w:bCs/>
                <w:color w:val="FFFF00"/>
                <w:sz w:val="20"/>
                <w:szCs w:val="20"/>
              </w:rPr>
              <w:t>&lt; 0,5 max</w:t>
            </w:r>
          </w:p>
        </w:tc>
        <w:tc>
          <w:tcPr>
            <w:tcW w:w="696" w:type="dxa"/>
            <w:shd w:val="clear" w:color="000000" w:fill="CCFF66"/>
            <w:noWrap/>
            <w:tcMar>
              <w:top w:w="15" w:type="dxa"/>
              <w:left w:w="85" w:type="dxa"/>
              <w:bottom w:w="0" w:type="dxa"/>
              <w:right w:w="85" w:type="dxa"/>
            </w:tcMar>
            <w:hideMark/>
          </w:tcPr>
          <w:p w:rsidR="00395168" w:rsidRPr="00485DD4" w:rsidRDefault="00395168" w:rsidP="00D34AD1">
            <w:pPr>
              <w:spacing w:after="0"/>
              <w:contextualSpacing/>
              <w:rPr>
                <w:rFonts w:ascii="Calibri" w:hAnsi="Calibri"/>
                <w:b/>
                <w:bCs/>
                <w:color w:val="000000"/>
                <w:sz w:val="20"/>
                <w:szCs w:val="20"/>
              </w:rPr>
            </w:pPr>
            <w:r w:rsidRPr="00485DD4">
              <w:rPr>
                <w:rFonts w:ascii="Calibri" w:hAnsi="Calibri"/>
                <w:b/>
                <w:bCs/>
                <w:color w:val="000000"/>
                <w:sz w:val="20"/>
                <w:szCs w:val="20"/>
              </w:rPr>
              <w:t>&gt; 0,8 max</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795A6D" w:rsidRDefault="00395168" w:rsidP="00D34AD1">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395168" w:rsidRPr="004E6B3C">
                <w:rPr>
                  <w:rFonts w:eastAsia="Times New Roman" w:cs="Times New Roman"/>
                  <w:b/>
                  <w:bCs/>
                  <w:u w:val="single"/>
                  <w:lang w:eastAsia="ru-RU"/>
                </w:rPr>
                <w:t>1.1.</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395168" w:rsidRPr="00964B37" w:rsidRDefault="00395168" w:rsidP="00D34AD1">
            <w:pPr>
              <w:pStyle w:val="a5"/>
              <w:spacing w:line="216" w:lineRule="auto"/>
              <w:contextualSpacing/>
              <w:jc w:val="left"/>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696" w:type="dxa"/>
            <w:shd w:val="clear" w:color="000000" w:fill="FFC7CE"/>
            <w:tcMar>
              <w:top w:w="15" w:type="dxa"/>
              <w:left w:w="85" w:type="dxa"/>
              <w:bottom w:w="0" w:type="dxa"/>
              <w:right w:w="85" w:type="dxa"/>
            </w:tcMar>
            <w:hideMark/>
          </w:tcPr>
          <w:p w:rsidR="00395168" w:rsidRDefault="00395168" w:rsidP="00D34AD1">
            <w:pPr>
              <w:spacing w:after="0"/>
              <w:contextualSpacing/>
              <w:rPr>
                <w:rFonts w:ascii="Calibri" w:hAnsi="Calibri"/>
                <w:b/>
                <w:bCs/>
                <w:color w:val="9C0006"/>
              </w:rPr>
            </w:pPr>
            <w:r>
              <w:rPr>
                <w:rFonts w:ascii="Calibri" w:hAnsi="Calibri"/>
                <w:b/>
                <w:bCs/>
                <w:color w:val="9C0006"/>
              </w:rPr>
              <w:t>3,00</w:t>
            </w:r>
          </w:p>
        </w:tc>
        <w:tc>
          <w:tcPr>
            <w:tcW w:w="696" w:type="dxa"/>
            <w:shd w:val="clear" w:color="000000" w:fill="FFC7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4,11</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795A6D" w:rsidRDefault="00395168" w:rsidP="00D34AD1">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395168" w:rsidRPr="004E6B3C">
                <w:rPr>
                  <w:rFonts w:eastAsia="Times New Roman" w:cs="Times New Roman"/>
                  <w:b/>
                  <w:bCs/>
                  <w:u w:val="single"/>
                  <w:lang w:eastAsia="ru-RU"/>
                </w:rPr>
                <w:t>1.2.</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395168" w:rsidRPr="00964B37" w:rsidRDefault="00395168" w:rsidP="00D34AD1">
            <w:pPr>
              <w:pStyle w:val="a5"/>
              <w:spacing w:line="216" w:lineRule="auto"/>
              <w:contextualSpacing/>
              <w:jc w:val="left"/>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6,00</w:t>
            </w:r>
          </w:p>
        </w:tc>
        <w:tc>
          <w:tcPr>
            <w:tcW w:w="696" w:type="dxa"/>
            <w:shd w:val="clear" w:color="000000" w:fill="FFC7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4,11</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795A6D" w:rsidRDefault="00395168" w:rsidP="00D34AD1">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9</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395168" w:rsidRPr="004E6B3C">
                <w:rPr>
                  <w:rFonts w:eastAsia="Times New Roman" w:cs="Times New Roman"/>
                  <w:b/>
                  <w:bCs/>
                  <w:u w:val="single"/>
                  <w:lang w:eastAsia="ru-RU"/>
                </w:rPr>
                <w:t>1.3.</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395168" w:rsidRPr="00964B37" w:rsidRDefault="00395168" w:rsidP="00D34AD1">
            <w:pPr>
              <w:spacing w:after="0" w:line="216" w:lineRule="auto"/>
              <w:contextualSpacing/>
              <w:rPr>
                <w:sz w:val="20"/>
                <w:szCs w:val="20"/>
              </w:rPr>
            </w:pPr>
            <w:r w:rsidRPr="00964B37">
              <w:rPr>
                <w:sz w:val="20"/>
                <w:szCs w:val="20"/>
              </w:rPr>
              <w:t xml:space="preserve">– </w:t>
            </w:r>
            <w:r w:rsidRPr="00964B37">
              <w:rPr>
                <w:i/>
                <w:sz w:val="20"/>
                <w:szCs w:val="20"/>
              </w:rPr>
              <w:t>Телефонный дозвон до организации</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5,00</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6,89</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4,5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7,2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795A6D" w:rsidRDefault="00395168" w:rsidP="00D34AD1">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5</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395168" w:rsidRPr="004E6B3C">
                <w:rPr>
                  <w:rFonts w:eastAsia="Times New Roman" w:cs="Times New Roman"/>
                  <w:b/>
                  <w:bCs/>
                  <w:u w:val="single"/>
                  <w:lang w:eastAsia="ru-RU"/>
                </w:rPr>
                <w:t>1.6.</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395168" w:rsidRPr="00964B37" w:rsidRDefault="00395168" w:rsidP="00D34AD1">
            <w:pPr>
              <w:spacing w:after="0" w:line="216" w:lineRule="auto"/>
              <w:contextualSpacing/>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4,00</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3,95</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15"/>
        </w:trPr>
        <w:tc>
          <w:tcPr>
            <w:tcW w:w="851" w:type="dxa"/>
            <w:shd w:val="clear" w:color="auto" w:fill="auto"/>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34</w:t>
            </w:r>
          </w:p>
        </w:tc>
        <w:tc>
          <w:tcPr>
            <w:tcW w:w="1559" w:type="dxa"/>
            <w:shd w:val="clear" w:color="auto" w:fill="auto"/>
            <w:noWrap/>
            <w:tcMar>
              <w:top w:w="15" w:type="dxa"/>
              <w:left w:w="57" w:type="dxa"/>
              <w:bottom w:w="0" w:type="dxa"/>
              <w:right w:w="57" w:type="dxa"/>
            </w:tcMar>
            <w:hideMark/>
          </w:tcPr>
          <w:p w:rsidR="00395168" w:rsidRPr="00E7394C" w:rsidRDefault="00611EA8" w:rsidP="00D34AD1">
            <w:pPr>
              <w:spacing w:after="0" w:line="216" w:lineRule="auto"/>
              <w:contextualSpacing/>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395168" w:rsidRPr="00E7394C">
                <w:rPr>
                  <w:rFonts w:eastAsia="Times New Roman" w:cs="Times New Roman"/>
                  <w:b/>
                  <w:bCs/>
                  <w:color w:val="C00000"/>
                  <w:u w:val="single"/>
                  <w:lang w:eastAsia="ru-RU"/>
                </w:rPr>
                <w:t>по критерию 1</w:t>
              </w:r>
            </w:hyperlink>
          </w:p>
        </w:tc>
        <w:tc>
          <w:tcPr>
            <w:tcW w:w="10348" w:type="dxa"/>
            <w:shd w:val="clear" w:color="auto" w:fill="auto"/>
            <w:tcMar>
              <w:left w:w="85" w:type="dxa"/>
              <w:right w:w="85" w:type="dxa"/>
            </w:tcMar>
          </w:tcPr>
          <w:p w:rsidR="00395168" w:rsidRPr="00E7394C" w:rsidRDefault="00395168" w:rsidP="00D34AD1">
            <w:pPr>
              <w:spacing w:after="0" w:line="216" w:lineRule="auto"/>
              <w:contextualSpacing/>
            </w:pPr>
            <w:r w:rsidRPr="00E7394C">
              <w:rPr>
                <w:rFonts w:eastAsia="Times New Roman" w:cs="Times New Roman"/>
                <w:b/>
                <w:bCs/>
                <w:color w:val="C00000"/>
                <w:lang w:eastAsia="ru-RU"/>
              </w:rPr>
              <w:t>Открытость и доступность информации об организациях</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7030A0"/>
              </w:rPr>
            </w:pPr>
            <w:r>
              <w:rPr>
                <w:rFonts w:ascii="Calibri" w:hAnsi="Calibri"/>
                <w:b/>
                <w:bCs/>
                <w:color w:val="7030A0"/>
              </w:rPr>
              <w:t>18,00</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18,47</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17</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27,2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795A6D" w:rsidRDefault="00395168" w:rsidP="00D34AD1">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395168" w:rsidRPr="004E6B3C">
                <w:rPr>
                  <w:rFonts w:eastAsia="Times New Roman" w:cs="Times New Roman"/>
                  <w:b/>
                  <w:bCs/>
                  <w:u w:val="single"/>
                  <w:lang w:eastAsia="ru-RU"/>
                </w:rPr>
                <w:t>2.1.</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395168" w:rsidRPr="00964B37" w:rsidRDefault="00395168" w:rsidP="00D34AD1">
            <w:pPr>
              <w:spacing w:after="0" w:line="216" w:lineRule="auto"/>
              <w:contextualSpacing/>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000000" w:fill="C6EFCE"/>
            <w:noWrap/>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10,00</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8,84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4E6B3C" w:rsidRDefault="00395168" w:rsidP="00D34AD1">
            <w:pPr>
              <w:spacing w:after="0" w:line="216" w:lineRule="auto"/>
              <w:contextualSpacing/>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59" w:type="dxa"/>
            <w:shd w:val="clear" w:color="auto" w:fill="auto"/>
            <w:noWrap/>
            <w:tcMar>
              <w:top w:w="15" w:type="dxa"/>
              <w:left w:w="85" w:type="dxa"/>
              <w:bottom w:w="0" w:type="dxa"/>
              <w:right w:w="85" w:type="dxa"/>
            </w:tcMar>
            <w:hideMark/>
          </w:tcPr>
          <w:p w:rsidR="00395168" w:rsidRPr="004E6B3C" w:rsidRDefault="00611EA8" w:rsidP="00D34AD1">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395168" w:rsidRPr="004E6B3C">
                <w:rPr>
                  <w:rFonts w:eastAsia="Times New Roman" w:cs="Times New Roman"/>
                  <w:b/>
                  <w:bCs/>
                  <w:color w:val="984806" w:themeColor="accent6" w:themeShade="80"/>
                  <w:u w:val="single"/>
                  <w:lang w:eastAsia="ru-RU"/>
                </w:rPr>
                <w:t>2.2.</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26,28</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24,06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24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r w:rsidR="00395168" w:rsidRPr="00E7394C">
                <w:rPr>
                  <w:rFonts w:eastAsia="Times New Roman" w:cs="Times New Roman"/>
                  <w:color w:val="0000FF"/>
                  <w:u w:val="single"/>
                  <w:lang w:eastAsia="ru-RU"/>
                </w:rPr>
                <w:t>в</w:t>
              </w:r>
              <w:proofErr w:type="gramStart"/>
              <w:r w:rsidR="00395168" w:rsidRPr="00E7394C">
                <w:rPr>
                  <w:rFonts w:eastAsia="Times New Roman" w:cs="Times New Roman"/>
                  <w:color w:val="0000FF"/>
                  <w:u w:val="single"/>
                  <w:lang w:eastAsia="ru-RU"/>
                </w:rPr>
                <w:t>1</w:t>
              </w:r>
              <w:proofErr w:type="gramEnd"/>
              <w:r w:rsidR="00395168" w:rsidRPr="00E7394C">
                <w:rPr>
                  <w:rFonts w:eastAsia="Times New Roman" w:cs="Times New Roman"/>
                  <w:color w:val="0000FF"/>
                  <w:u w:val="single"/>
                  <w:lang w:eastAsia="ru-RU"/>
                </w:rPr>
                <w:t xml:space="preserve"> Арв</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color w:val="006100"/>
              </w:rPr>
            </w:pPr>
            <w:r w:rsidRPr="00685381">
              <w:rPr>
                <w:rFonts w:ascii="Calibri" w:hAnsi="Calibri"/>
                <w:color w:val="006100"/>
              </w:rPr>
              <w:t>9,22</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0000"/>
              </w:rPr>
            </w:pPr>
            <w:r w:rsidRPr="00685381">
              <w:rPr>
                <w:rFonts w:ascii="Calibri" w:hAnsi="Calibri"/>
                <w:bCs/>
                <w:i/>
                <w:color w:val="000000"/>
              </w:rPr>
              <w:t>7,68</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r w:rsidR="00395168" w:rsidRPr="00E7394C">
                <w:rPr>
                  <w:rFonts w:eastAsia="Times New Roman" w:cs="Times New Roman"/>
                  <w:color w:val="0000FF"/>
                  <w:u w:val="single"/>
                  <w:lang w:eastAsia="ru-RU"/>
                </w:rPr>
                <w:t>в</w:t>
              </w:r>
              <w:proofErr w:type="gramStart"/>
              <w:r w:rsidR="00395168" w:rsidRPr="00E7394C">
                <w:rPr>
                  <w:rFonts w:eastAsia="Times New Roman" w:cs="Times New Roman"/>
                  <w:color w:val="0000FF"/>
                  <w:u w:val="single"/>
                  <w:lang w:eastAsia="ru-RU"/>
                </w:rPr>
                <w:t>2</w:t>
              </w:r>
              <w:proofErr w:type="gramEnd"/>
              <w:r w:rsidR="00395168" w:rsidRPr="00E7394C">
                <w:rPr>
                  <w:rFonts w:eastAsia="Times New Roman" w:cs="Times New Roman"/>
                  <w:color w:val="0000FF"/>
                  <w:u w:val="single"/>
                  <w:lang w:eastAsia="ru-RU"/>
                </w:rPr>
                <w:t xml:space="preserve"> Арв</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color w:val="006100"/>
              </w:rPr>
            </w:pPr>
            <w:r w:rsidRPr="00685381">
              <w:rPr>
                <w:rFonts w:ascii="Calibri" w:hAnsi="Calibri"/>
                <w:color w:val="006100"/>
              </w:rPr>
              <w:t>9,06</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6100"/>
              </w:rPr>
            </w:pPr>
            <w:r w:rsidRPr="00685381">
              <w:rPr>
                <w:rFonts w:ascii="Calibri" w:hAnsi="Calibri"/>
                <w:bCs/>
                <w:i/>
                <w:color w:val="006100"/>
              </w:rPr>
              <w:t>8,12</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lang w:eastAsia="ru-RU"/>
              </w:rPr>
            </w:pPr>
            <w:r w:rsidRPr="00E7394C">
              <w:rPr>
                <w:rFonts w:eastAsia="Times New Roman" w:cs="Times New Roman"/>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gramStart"/>
              <w:r w:rsidR="00395168" w:rsidRPr="00E7394C">
                <w:rPr>
                  <w:rFonts w:eastAsia="Times New Roman" w:cs="Times New Roman"/>
                  <w:u w:val="single"/>
                  <w:lang w:eastAsia="ru-RU"/>
                </w:rPr>
                <w:t>п</w:t>
              </w:r>
              <w:proofErr w:type="gramEnd"/>
              <w:r w:rsidR="00395168" w:rsidRPr="00E7394C">
                <w:rPr>
                  <w:rFonts w:eastAsia="Times New Roman" w:cs="Times New Roman"/>
                  <w:u w:val="single"/>
                  <w:lang w:eastAsia="ru-RU"/>
                </w:rPr>
                <w:t xml:space="preserve"> 2.2 в ЧЛН</w:t>
              </w:r>
            </w:hyperlink>
          </w:p>
        </w:tc>
        <w:tc>
          <w:tcPr>
            <w:tcW w:w="10348" w:type="dxa"/>
            <w:shd w:val="clear" w:color="auto" w:fill="auto"/>
            <w:tcMar>
              <w:left w:w="85" w:type="dxa"/>
              <w:right w:w="85" w:type="dxa"/>
            </w:tcMar>
          </w:tcPr>
          <w:p w:rsidR="00395168" w:rsidRPr="00964B37" w:rsidRDefault="00395168" w:rsidP="00D34AD1">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noWrap/>
            <w:tcMar>
              <w:top w:w="15" w:type="dxa"/>
              <w:left w:w="85" w:type="dxa"/>
              <w:bottom w:w="0" w:type="dxa"/>
              <w:right w:w="85" w:type="dxa"/>
            </w:tcMar>
            <w:hideMark/>
          </w:tcPr>
          <w:p w:rsidR="00395168" w:rsidRPr="00685381" w:rsidRDefault="00395168" w:rsidP="00D34AD1">
            <w:pPr>
              <w:spacing w:after="0"/>
              <w:contextualSpacing/>
              <w:rPr>
                <w:rFonts w:ascii="Calibri" w:hAnsi="Calibri"/>
              </w:rPr>
            </w:pPr>
            <w:r w:rsidRPr="00685381">
              <w:rPr>
                <w:rFonts w:ascii="Calibri" w:hAnsi="Calibri"/>
              </w:rPr>
              <w:t>8,00</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Cs/>
                <w:color w:val="006100"/>
              </w:rPr>
            </w:pPr>
            <w:r w:rsidRPr="00685381">
              <w:rPr>
                <w:rFonts w:ascii="Calibri" w:hAnsi="Calibri"/>
                <w:bCs/>
                <w:color w:val="006100"/>
              </w:rPr>
              <w:t>8,26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395168" w:rsidRPr="00E7394C">
                <w:rPr>
                  <w:rFonts w:eastAsia="Times New Roman" w:cs="Times New Roman"/>
                  <w:b/>
                  <w:bCs/>
                  <w:color w:val="984806" w:themeColor="accent6" w:themeShade="80"/>
                  <w:u w:val="single"/>
                  <w:lang w:eastAsia="ru-RU"/>
                </w:rPr>
                <w:t>2.3.</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rPr>
            </w:pPr>
            <w:r>
              <w:rPr>
                <w:rFonts w:ascii="Calibri" w:hAnsi="Calibri"/>
                <w:b/>
                <w:bCs/>
              </w:rPr>
              <w:t>14,75</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12,54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16</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r w:rsidR="00395168" w:rsidRPr="00E7394C">
                <w:rPr>
                  <w:rFonts w:eastAsia="Times New Roman" w:cs="Times New Roman"/>
                  <w:color w:val="0000FF"/>
                  <w:u w:val="single"/>
                  <w:lang w:eastAsia="ru-RU"/>
                </w:rPr>
                <w:t>в3 Арв</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color w:val="006100"/>
              </w:rPr>
            </w:pPr>
            <w:r w:rsidRPr="00685381">
              <w:rPr>
                <w:rFonts w:ascii="Calibri" w:hAnsi="Calibri"/>
                <w:color w:val="006100"/>
              </w:rPr>
              <w:t>8,75</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0000"/>
              </w:rPr>
            </w:pPr>
            <w:r w:rsidRPr="00685381">
              <w:rPr>
                <w:rFonts w:ascii="Calibri" w:hAnsi="Calibri"/>
                <w:bCs/>
                <w:i/>
                <w:color w:val="000000"/>
              </w:rPr>
              <w:t>6,26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lang w:eastAsia="ru-RU"/>
              </w:rPr>
            </w:pPr>
            <w:r w:rsidRPr="00E7394C">
              <w:rPr>
                <w:rFonts w:eastAsia="Times New Roman" w:cs="Times New Roman"/>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gramStart"/>
              <w:r w:rsidR="00395168" w:rsidRPr="00E7394C">
                <w:rPr>
                  <w:rFonts w:eastAsia="Times New Roman" w:cs="Times New Roman"/>
                  <w:u w:val="single"/>
                  <w:lang w:eastAsia="ru-RU"/>
                </w:rPr>
                <w:t>п</w:t>
              </w:r>
              <w:proofErr w:type="gramEnd"/>
              <w:r w:rsidR="00395168" w:rsidRPr="00E7394C">
                <w:rPr>
                  <w:rFonts w:eastAsia="Times New Roman" w:cs="Times New Roman"/>
                  <w:u w:val="single"/>
                  <w:lang w:eastAsia="ru-RU"/>
                </w:rPr>
                <w:t xml:space="preserve"> 2.3 в ЧЛН</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noWrap/>
            <w:tcMar>
              <w:top w:w="15" w:type="dxa"/>
              <w:left w:w="85" w:type="dxa"/>
              <w:bottom w:w="0" w:type="dxa"/>
              <w:right w:w="85" w:type="dxa"/>
            </w:tcMar>
            <w:hideMark/>
          </w:tcPr>
          <w:p w:rsidR="00395168" w:rsidRPr="00685381" w:rsidRDefault="00395168" w:rsidP="00D34AD1">
            <w:pPr>
              <w:spacing w:after="0"/>
              <w:contextualSpacing/>
              <w:rPr>
                <w:rFonts w:ascii="Calibri" w:hAnsi="Calibri"/>
              </w:rPr>
            </w:pPr>
            <w:r w:rsidRPr="00685381">
              <w:rPr>
                <w:rFonts w:ascii="Calibri" w:hAnsi="Calibri"/>
              </w:rPr>
              <w:t>6,00</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0000"/>
              </w:rPr>
            </w:pPr>
            <w:r w:rsidRPr="00685381">
              <w:rPr>
                <w:rFonts w:ascii="Calibri" w:hAnsi="Calibri"/>
                <w:bCs/>
                <w:i/>
                <w:color w:val="000000"/>
              </w:rPr>
              <w:t>6,28</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395168" w:rsidRPr="00E7394C">
                <w:rPr>
                  <w:rFonts w:eastAsia="Times New Roman" w:cs="Times New Roman"/>
                  <w:b/>
                  <w:bCs/>
                  <w:color w:val="984806" w:themeColor="accent6" w:themeShade="80"/>
                  <w:u w:val="single"/>
                  <w:lang w:eastAsia="ru-RU"/>
                </w:rPr>
                <w:t>2.4.</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6,75</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5,64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8</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r w:rsidR="00395168" w:rsidRPr="00E7394C">
                <w:rPr>
                  <w:rFonts w:eastAsia="Times New Roman" w:cs="Times New Roman"/>
                  <w:color w:val="0000FF"/>
                  <w:u w:val="single"/>
                  <w:lang w:eastAsia="ru-RU"/>
                </w:rPr>
                <w:t>в</w:t>
              </w:r>
              <w:proofErr w:type="gramStart"/>
              <w:r w:rsidR="00395168" w:rsidRPr="00E7394C">
                <w:rPr>
                  <w:rFonts w:eastAsia="Times New Roman" w:cs="Times New Roman"/>
                  <w:color w:val="0000FF"/>
                  <w:u w:val="single"/>
                  <w:lang w:eastAsia="ru-RU"/>
                </w:rPr>
                <w:t>4</w:t>
              </w:r>
              <w:proofErr w:type="gramEnd"/>
              <w:r w:rsidR="00395168" w:rsidRPr="00E7394C">
                <w:rPr>
                  <w:rFonts w:eastAsia="Times New Roman" w:cs="Times New Roman"/>
                  <w:color w:val="0000FF"/>
                  <w:u w:val="single"/>
                  <w:lang w:eastAsia="ru-RU"/>
                </w:rPr>
                <w:t xml:space="preserve"> Арв</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color w:val="000000"/>
              </w:rPr>
            </w:pPr>
            <w:r w:rsidRPr="00685381">
              <w:rPr>
                <w:rFonts w:ascii="Calibri" w:hAnsi="Calibri"/>
                <w:color w:val="000000"/>
              </w:rPr>
              <w:t>5,75</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0000"/>
              </w:rPr>
            </w:pPr>
            <w:r w:rsidRPr="00685381">
              <w:rPr>
                <w:rFonts w:ascii="Calibri" w:hAnsi="Calibri"/>
                <w:bCs/>
                <w:i/>
                <w:color w:val="000000"/>
              </w:rPr>
              <w:t>4,64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4</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6,4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lang w:eastAsia="ru-RU"/>
              </w:rPr>
            </w:pPr>
            <w:r w:rsidRPr="00E7394C">
              <w:rPr>
                <w:rFonts w:eastAsia="Times New Roman" w:cs="Times New Roman"/>
                <w:lang w:eastAsia="ru-RU"/>
              </w:rPr>
              <w:t>2</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gramStart"/>
              <w:r w:rsidR="00395168" w:rsidRPr="00E7394C">
                <w:rPr>
                  <w:rFonts w:eastAsia="Times New Roman" w:cs="Times New Roman"/>
                  <w:u w:val="single"/>
                  <w:lang w:eastAsia="ru-RU"/>
                </w:rPr>
                <w:t>п</w:t>
              </w:r>
              <w:proofErr w:type="gramEnd"/>
              <w:r w:rsidR="00395168" w:rsidRPr="00E7394C">
                <w:rPr>
                  <w:rFonts w:eastAsia="Times New Roman" w:cs="Times New Roman"/>
                  <w:u w:val="single"/>
                  <w:lang w:eastAsia="ru-RU"/>
                </w:rPr>
                <w:t xml:space="preserve"> 2.4 в ЧЛН</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noWrap/>
            <w:tcMar>
              <w:top w:w="15" w:type="dxa"/>
              <w:left w:w="85" w:type="dxa"/>
              <w:bottom w:w="0" w:type="dxa"/>
              <w:right w:w="85" w:type="dxa"/>
            </w:tcMar>
            <w:hideMark/>
          </w:tcPr>
          <w:p w:rsidR="00395168" w:rsidRPr="00685381" w:rsidRDefault="00395168" w:rsidP="00D34AD1">
            <w:pPr>
              <w:spacing w:after="0"/>
              <w:contextualSpacing/>
              <w:rPr>
                <w:rFonts w:ascii="Calibri" w:hAnsi="Calibri"/>
              </w:rPr>
            </w:pPr>
            <w:r w:rsidRPr="00685381">
              <w:rPr>
                <w:rFonts w:ascii="Calibri" w:hAnsi="Calibri"/>
              </w:rPr>
              <w:t>1,00</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Cs/>
                <w:i/>
                <w:color w:val="000000"/>
              </w:rPr>
            </w:pPr>
            <w:r w:rsidRPr="00685381">
              <w:rPr>
                <w:rFonts w:ascii="Calibri" w:hAnsi="Calibri"/>
                <w:bCs/>
                <w:i/>
                <w:color w:val="000000"/>
              </w:rPr>
              <w:t>1,00</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1,6</w:t>
            </w:r>
          </w:p>
        </w:tc>
      </w:tr>
      <w:tr w:rsidR="00395168" w:rsidTr="00D34AD1">
        <w:trPr>
          <w:trHeight w:val="300"/>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5</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395168" w:rsidRPr="00E7394C">
                <w:rPr>
                  <w:rFonts w:eastAsia="Times New Roman" w:cs="Times New Roman"/>
                  <w:b/>
                  <w:bCs/>
                  <w:u w:val="single"/>
                  <w:lang w:eastAsia="ru-RU"/>
                </w:rPr>
                <w:t>2.5.</w:t>
              </w:r>
            </w:hyperlink>
          </w:p>
        </w:tc>
        <w:tc>
          <w:tcPr>
            <w:tcW w:w="10348" w:type="dxa"/>
            <w:shd w:val="clear" w:color="auto" w:fill="auto"/>
            <w:tcMar>
              <w:left w:w="85" w:type="dxa"/>
              <w:right w:w="85" w:type="dxa"/>
            </w:tcMar>
          </w:tcPr>
          <w:p w:rsidR="00395168" w:rsidRPr="00964B37" w:rsidRDefault="00395168" w:rsidP="00D34AD1">
            <w:pPr>
              <w:spacing w:after="0" w:line="216" w:lineRule="auto"/>
              <w:contextualSpacing/>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395168" w:rsidRPr="00964B37" w:rsidRDefault="00395168" w:rsidP="00D34AD1">
            <w:pPr>
              <w:spacing w:after="0" w:line="216" w:lineRule="auto"/>
              <w:contextualSpacing/>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000000" w:fill="FFC7CE"/>
            <w:noWrap/>
            <w:tcMar>
              <w:top w:w="15" w:type="dxa"/>
              <w:left w:w="85" w:type="dxa"/>
              <w:bottom w:w="0" w:type="dxa"/>
              <w:right w:w="85" w:type="dxa"/>
            </w:tcMar>
            <w:hideMark/>
          </w:tcPr>
          <w:p w:rsidR="00395168" w:rsidRDefault="00395168" w:rsidP="00D34AD1">
            <w:pPr>
              <w:spacing w:after="0"/>
              <w:contextualSpacing/>
              <w:rPr>
                <w:rFonts w:ascii="Calibri" w:hAnsi="Calibri"/>
                <w:b/>
                <w:bCs/>
                <w:color w:val="9C0006"/>
              </w:rPr>
            </w:pPr>
            <w:r>
              <w:rPr>
                <w:rFonts w:ascii="Calibri" w:hAnsi="Calibri"/>
                <w:b/>
                <w:bCs/>
                <w:color w:val="9C0006"/>
              </w:rPr>
              <w:t>1,00</w:t>
            </w:r>
          </w:p>
        </w:tc>
        <w:tc>
          <w:tcPr>
            <w:tcW w:w="696" w:type="dxa"/>
            <w:shd w:val="clear" w:color="000000" w:fill="FFC7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0,79</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00"/>
        </w:trPr>
        <w:tc>
          <w:tcPr>
            <w:tcW w:w="851" w:type="dxa"/>
            <w:shd w:val="clear" w:color="auto" w:fill="auto"/>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75</w:t>
            </w:r>
          </w:p>
        </w:tc>
        <w:tc>
          <w:tcPr>
            <w:tcW w:w="1559" w:type="dxa"/>
            <w:shd w:val="clear" w:color="auto" w:fill="auto"/>
            <w:noWrap/>
            <w:tcMar>
              <w:top w:w="15" w:type="dxa"/>
              <w:left w:w="57" w:type="dxa"/>
              <w:bottom w:w="0" w:type="dxa"/>
              <w:right w:w="57" w:type="dxa"/>
            </w:tcMar>
            <w:hideMark/>
          </w:tcPr>
          <w:p w:rsidR="00395168" w:rsidRPr="00E7394C" w:rsidRDefault="00611EA8" w:rsidP="00D34AD1">
            <w:pPr>
              <w:spacing w:after="0" w:line="216" w:lineRule="auto"/>
              <w:contextualSpacing/>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395168" w:rsidRPr="00E7394C">
                <w:rPr>
                  <w:rFonts w:eastAsia="Times New Roman" w:cs="Times New Roman"/>
                  <w:b/>
                  <w:bCs/>
                  <w:color w:val="C00000"/>
                  <w:u w:val="single"/>
                  <w:lang w:eastAsia="ru-RU"/>
                </w:rPr>
                <w:t>по критерию 2</w:t>
              </w:r>
            </w:hyperlink>
          </w:p>
        </w:tc>
        <w:tc>
          <w:tcPr>
            <w:tcW w:w="10348" w:type="dxa"/>
            <w:shd w:val="clear" w:color="auto" w:fill="auto"/>
            <w:tcMar>
              <w:left w:w="85" w:type="dxa"/>
              <w:right w:w="85" w:type="dxa"/>
            </w:tcMar>
          </w:tcPr>
          <w:p w:rsidR="00395168" w:rsidRPr="00E7394C" w:rsidRDefault="00395168" w:rsidP="00D34AD1">
            <w:pPr>
              <w:spacing w:after="0" w:line="216" w:lineRule="auto"/>
              <w:contextualSpacing/>
              <w:rPr>
                <w:b/>
                <w:color w:val="C00000"/>
              </w:rPr>
            </w:pPr>
            <w:r w:rsidRPr="00E7394C">
              <w:rPr>
                <w:b/>
                <w:color w:val="C00000"/>
              </w:rPr>
              <w:t>Комфортность условий, в которых осуществляется образовательная деятельность</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7030A0"/>
              </w:rPr>
            </w:pPr>
            <w:r>
              <w:rPr>
                <w:rFonts w:ascii="Calibri" w:hAnsi="Calibri"/>
                <w:b/>
                <w:bCs/>
                <w:color w:val="7030A0"/>
              </w:rPr>
              <w:t>58,78</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51,87</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37,5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60</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395168" w:rsidRPr="00E7394C">
                <w:rPr>
                  <w:rFonts w:eastAsia="Times New Roman" w:cs="Times New Roman"/>
                  <w:b/>
                  <w:bCs/>
                  <w:color w:val="0000FF"/>
                  <w:u w:val="single"/>
                  <w:lang w:eastAsia="ru-RU"/>
                </w:rPr>
                <w:t>3.1.</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педработников организации и помощников воспитателей,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9,69</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7,96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4</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395168" w:rsidRPr="00E7394C">
                <w:rPr>
                  <w:rFonts w:eastAsia="Times New Roman" w:cs="Times New Roman"/>
                  <w:b/>
                  <w:bCs/>
                  <w:color w:val="0000FF"/>
                  <w:u w:val="single"/>
                  <w:lang w:eastAsia="ru-RU"/>
                </w:rPr>
                <w:t>3.2.</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2,56</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2,95</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3,2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395168" w:rsidRPr="00E7394C">
                <w:rPr>
                  <w:rFonts w:eastAsia="Times New Roman" w:cs="Times New Roman"/>
                  <w:b/>
                  <w:bCs/>
                  <w:color w:val="0000FF"/>
                  <w:u w:val="single"/>
                  <w:lang w:eastAsia="ru-RU"/>
                </w:rPr>
                <w:t>3.3.</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4,06</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4,15</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395168" w:rsidRPr="00E7394C">
                <w:rPr>
                  <w:rFonts w:eastAsia="Times New Roman" w:cs="Times New Roman"/>
                  <w:b/>
                  <w:bCs/>
                  <w:color w:val="0000FF"/>
                  <w:u w:val="single"/>
                  <w:lang w:eastAsia="ru-RU"/>
                </w:rPr>
                <w:t>3.4.</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4,69</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3,98</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395168" w:rsidRPr="00E7394C">
                <w:rPr>
                  <w:rFonts w:eastAsia="Times New Roman" w:cs="Times New Roman"/>
                  <w:b/>
                  <w:bCs/>
                  <w:color w:val="0000FF"/>
                  <w:u w:val="single"/>
                  <w:lang w:eastAsia="ru-RU"/>
                </w:rPr>
                <w:t>3.5.</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9,38</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8,44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395168" w:rsidRPr="00E7394C">
                <w:rPr>
                  <w:rFonts w:eastAsia="Times New Roman" w:cs="Times New Roman"/>
                  <w:b/>
                  <w:bCs/>
                  <w:color w:val="0000FF"/>
                  <w:u w:val="single"/>
                  <w:lang w:eastAsia="ru-RU"/>
                </w:rPr>
                <w:t>3.6.</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4,38</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4,01</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395168" w:rsidRPr="00E7394C">
                <w:rPr>
                  <w:rFonts w:eastAsia="Times New Roman" w:cs="Times New Roman"/>
                  <w:b/>
                  <w:bCs/>
                  <w:color w:val="0000FF"/>
                  <w:u w:val="single"/>
                  <w:lang w:eastAsia="ru-RU"/>
                </w:rPr>
                <w:t>3.7.</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9,06</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7,86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4</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395168" w:rsidRPr="00E7394C">
                <w:rPr>
                  <w:rFonts w:eastAsia="Times New Roman" w:cs="Times New Roman"/>
                  <w:b/>
                  <w:bCs/>
                  <w:color w:val="0000FF"/>
                  <w:u w:val="single"/>
                  <w:lang w:eastAsia="ru-RU"/>
                </w:rPr>
                <w:t>3.8.</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395168" w:rsidRPr="001449D1"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3,25</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3,34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3,2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395168" w:rsidRPr="00E7394C">
                <w:rPr>
                  <w:rFonts w:eastAsia="Times New Roman" w:cs="Times New Roman"/>
                  <w:b/>
                  <w:bCs/>
                  <w:u w:val="single"/>
                  <w:lang w:eastAsia="ru-RU"/>
                </w:rPr>
                <w:t>3.9.</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395168" w:rsidRPr="001449D1" w:rsidRDefault="00395168" w:rsidP="00D34AD1">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bottom w:val="single" w:sz="4" w:space="0" w:color="auto"/>
            </w:tcBorders>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rPr>
            </w:pPr>
            <w:r>
              <w:rPr>
                <w:rFonts w:ascii="Calibri" w:hAnsi="Calibri"/>
                <w:b/>
                <w:bCs/>
              </w:rPr>
              <w:t>2,33</w:t>
            </w:r>
          </w:p>
        </w:tc>
        <w:tc>
          <w:tcPr>
            <w:tcW w:w="696" w:type="dxa"/>
            <w:tcBorders>
              <w:bottom w:val="single" w:sz="4" w:space="0" w:color="auto"/>
            </w:tcBorders>
            <w:shd w:val="clear" w:color="000000" w:fill="FFC7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1,13</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3,2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5</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395168" w:rsidRPr="00E7394C">
                <w:rPr>
                  <w:rFonts w:eastAsia="Times New Roman" w:cs="Times New Roman"/>
                  <w:b/>
                  <w:bCs/>
                  <w:u w:val="single"/>
                  <w:lang w:eastAsia="ru-RU"/>
                </w:rPr>
                <w:t>3.10.</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395168" w:rsidRPr="001449D1" w:rsidRDefault="00395168" w:rsidP="00D34AD1">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bottom w:val="nil"/>
            </w:tcBorders>
            <w:shd w:val="clear" w:color="auto" w:fill="FFFF00"/>
            <w:tcMar>
              <w:top w:w="15" w:type="dxa"/>
              <w:left w:w="85" w:type="dxa"/>
              <w:bottom w:w="0" w:type="dxa"/>
              <w:right w:w="85" w:type="dxa"/>
            </w:tcMar>
            <w:hideMark/>
          </w:tcPr>
          <w:p w:rsidR="00395168" w:rsidRDefault="00395168" w:rsidP="00D34AD1">
            <w:pPr>
              <w:spacing w:after="0"/>
              <w:contextualSpacing/>
              <w:rPr>
                <w:rFonts w:ascii="Calibri" w:hAnsi="Calibri"/>
                <w:b/>
                <w:bCs/>
                <w:color w:val="9C0006"/>
              </w:rPr>
            </w:pPr>
            <w:r>
              <w:rPr>
                <w:rFonts w:ascii="Calibri" w:hAnsi="Calibri"/>
                <w:b/>
                <w:bCs/>
                <w:color w:val="9C0006"/>
              </w:rPr>
              <w:t>0,00</w:t>
            </w:r>
          </w:p>
        </w:tc>
        <w:tc>
          <w:tcPr>
            <w:tcW w:w="696" w:type="dxa"/>
            <w:tcBorders>
              <w:bottom w:val="nil"/>
            </w:tcBorders>
            <w:shd w:val="clear" w:color="000000" w:fill="FFFF00"/>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0,00</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4</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395168" w:rsidRPr="00E7394C">
                <w:rPr>
                  <w:rFonts w:eastAsia="Times New Roman" w:cs="Times New Roman"/>
                  <w:b/>
                  <w:bCs/>
                  <w:u w:val="single"/>
                  <w:lang w:eastAsia="ru-RU"/>
                </w:rPr>
                <w:t>3.11.</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395168" w:rsidRPr="001449D1" w:rsidRDefault="00395168" w:rsidP="00D34AD1">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top w:val="nil"/>
            </w:tcBorders>
            <w:shd w:val="clear" w:color="auto" w:fill="FFFF00"/>
            <w:tcMar>
              <w:top w:w="15" w:type="dxa"/>
              <w:left w:w="85" w:type="dxa"/>
              <w:bottom w:w="0" w:type="dxa"/>
              <w:right w:w="85" w:type="dxa"/>
            </w:tcMar>
            <w:hideMark/>
          </w:tcPr>
          <w:p w:rsidR="00395168" w:rsidRDefault="00395168" w:rsidP="00D34AD1">
            <w:pPr>
              <w:spacing w:after="0"/>
              <w:contextualSpacing/>
              <w:rPr>
                <w:rFonts w:ascii="Calibri" w:hAnsi="Calibri"/>
                <w:b/>
                <w:bCs/>
                <w:color w:val="9C0006"/>
              </w:rPr>
            </w:pPr>
            <w:r>
              <w:rPr>
                <w:rFonts w:ascii="Calibri" w:hAnsi="Calibri"/>
                <w:b/>
                <w:bCs/>
                <w:color w:val="9C0006"/>
              </w:rPr>
              <w:t>1,67</w:t>
            </w:r>
          </w:p>
        </w:tc>
        <w:tc>
          <w:tcPr>
            <w:tcW w:w="696" w:type="dxa"/>
            <w:tcBorders>
              <w:top w:val="nil"/>
            </w:tcBorders>
            <w:shd w:val="clear" w:color="000000" w:fill="FFFF00"/>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1,11</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3,2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20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395168" w:rsidRPr="00E7394C">
                <w:rPr>
                  <w:rFonts w:eastAsia="Times New Roman" w:cs="Times New Roman"/>
                  <w:b/>
                  <w:bCs/>
                  <w:u w:val="single"/>
                  <w:lang w:eastAsia="ru-RU"/>
                </w:rPr>
                <w:t>3.12.</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395168" w:rsidRPr="001449D1" w:rsidRDefault="00395168" w:rsidP="00D34AD1">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shd w:val="clear" w:color="000000" w:fill="FFC7CE"/>
            <w:tcMar>
              <w:top w:w="15" w:type="dxa"/>
              <w:left w:w="85" w:type="dxa"/>
              <w:bottom w:w="0" w:type="dxa"/>
              <w:right w:w="85" w:type="dxa"/>
            </w:tcMar>
            <w:hideMark/>
          </w:tcPr>
          <w:p w:rsidR="00395168" w:rsidRDefault="00395168" w:rsidP="00D34AD1">
            <w:pPr>
              <w:spacing w:after="0"/>
              <w:contextualSpacing/>
              <w:rPr>
                <w:rFonts w:ascii="Calibri" w:hAnsi="Calibri"/>
                <w:b/>
                <w:bCs/>
                <w:color w:val="9C0006"/>
              </w:rPr>
            </w:pPr>
            <w:r>
              <w:rPr>
                <w:rFonts w:ascii="Calibri" w:hAnsi="Calibri"/>
                <w:b/>
                <w:bCs/>
                <w:color w:val="9C0006"/>
              </w:rPr>
              <w:t>0,00</w:t>
            </w:r>
          </w:p>
        </w:tc>
        <w:tc>
          <w:tcPr>
            <w:tcW w:w="696" w:type="dxa"/>
            <w:shd w:val="clear" w:color="000000" w:fill="FFC7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9C0006"/>
              </w:rPr>
            </w:pPr>
            <w:r w:rsidRPr="00685381">
              <w:rPr>
                <w:rFonts w:ascii="Calibri" w:hAnsi="Calibri"/>
                <w:b/>
                <w:bCs/>
                <w:i/>
                <w:color w:val="9C0006"/>
              </w:rPr>
              <w:t>1,14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16</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395168" w:rsidRPr="00E7394C">
                <w:rPr>
                  <w:rFonts w:eastAsia="Times New Roman" w:cs="Times New Roman"/>
                  <w:b/>
                  <w:bCs/>
                  <w:u w:val="single"/>
                  <w:lang w:eastAsia="ru-RU"/>
                </w:rPr>
                <w:t>3.13.</w:t>
              </w:r>
            </w:hyperlink>
          </w:p>
        </w:tc>
        <w:tc>
          <w:tcPr>
            <w:tcW w:w="10348" w:type="dxa"/>
            <w:shd w:val="clear" w:color="auto" w:fill="auto"/>
            <w:tcMar>
              <w:left w:w="85" w:type="dxa"/>
              <w:right w:w="85" w:type="dxa"/>
            </w:tcMar>
          </w:tcPr>
          <w:p w:rsidR="00395168" w:rsidRPr="001449D1" w:rsidRDefault="00395168" w:rsidP="00D34AD1">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395168" w:rsidRPr="001449D1" w:rsidRDefault="00395168" w:rsidP="00D34AD1">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rPr>
            </w:pPr>
            <w:r>
              <w:rPr>
                <w:rFonts w:ascii="Calibri" w:hAnsi="Calibri"/>
                <w:b/>
                <w:bCs/>
              </w:rPr>
              <w:t>2,67</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2,94</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3,2</w:t>
            </w:r>
          </w:p>
        </w:tc>
      </w:tr>
      <w:tr w:rsidR="00395168" w:rsidTr="00D34AD1">
        <w:trPr>
          <w:trHeight w:val="315"/>
        </w:trPr>
        <w:tc>
          <w:tcPr>
            <w:tcW w:w="851" w:type="dxa"/>
            <w:shd w:val="clear" w:color="auto" w:fill="auto"/>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90</w:t>
            </w:r>
          </w:p>
        </w:tc>
        <w:tc>
          <w:tcPr>
            <w:tcW w:w="1559" w:type="dxa"/>
            <w:shd w:val="clear" w:color="auto" w:fill="auto"/>
            <w:noWrap/>
            <w:tcMar>
              <w:top w:w="15" w:type="dxa"/>
              <w:left w:w="57" w:type="dxa"/>
              <w:bottom w:w="0" w:type="dxa"/>
              <w:right w:w="57" w:type="dxa"/>
            </w:tcMar>
            <w:hideMark/>
          </w:tcPr>
          <w:p w:rsidR="00395168" w:rsidRPr="00E7394C" w:rsidRDefault="00611EA8" w:rsidP="00D34AD1">
            <w:pPr>
              <w:spacing w:after="0" w:line="216" w:lineRule="auto"/>
              <w:contextualSpacing/>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395168" w:rsidRPr="00E7394C">
                <w:rPr>
                  <w:rFonts w:eastAsia="Times New Roman" w:cs="Times New Roman"/>
                  <w:b/>
                  <w:bCs/>
                  <w:color w:val="C00000"/>
                  <w:u w:val="single"/>
                  <w:lang w:eastAsia="ru-RU"/>
                </w:rPr>
                <w:t>по критерию 3</w:t>
              </w:r>
            </w:hyperlink>
          </w:p>
        </w:tc>
        <w:tc>
          <w:tcPr>
            <w:tcW w:w="10348" w:type="dxa"/>
            <w:shd w:val="clear" w:color="auto" w:fill="auto"/>
            <w:tcMar>
              <w:left w:w="85" w:type="dxa"/>
              <w:right w:w="85" w:type="dxa"/>
            </w:tcMar>
          </w:tcPr>
          <w:p w:rsidR="00395168" w:rsidRPr="00E7394C" w:rsidRDefault="00395168" w:rsidP="00D34AD1">
            <w:pPr>
              <w:spacing w:after="0" w:line="216" w:lineRule="auto"/>
              <w:contextualSpacing/>
              <w:rPr>
                <w:b/>
                <w:color w:val="C00000"/>
              </w:rPr>
            </w:pPr>
            <w:r w:rsidRPr="00E7394C">
              <w:rPr>
                <w:b/>
                <w:color w:val="C00000"/>
              </w:rPr>
              <w:t>Доброжелательность, вежливость, компетентность работников организаций</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7030A0"/>
              </w:rPr>
            </w:pPr>
            <w:r>
              <w:rPr>
                <w:rFonts w:ascii="Calibri" w:hAnsi="Calibri"/>
                <w:b/>
                <w:bCs/>
                <w:color w:val="7030A0"/>
              </w:rPr>
              <w:t>53,73</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49,00</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45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72</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395168" w:rsidRPr="00E7394C">
                <w:rPr>
                  <w:rFonts w:eastAsia="Times New Roman" w:cs="Times New Roman"/>
                  <w:b/>
                  <w:bCs/>
                  <w:color w:val="0000FF"/>
                  <w:u w:val="single"/>
                  <w:lang w:eastAsia="ru-RU"/>
                </w:rPr>
                <w:t>4.1.</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395168" w:rsidRPr="004A0CC6" w:rsidRDefault="00395168" w:rsidP="00D34AD1">
            <w:pPr>
              <w:spacing w:after="0" w:line="216" w:lineRule="auto"/>
              <w:contextualSpacing/>
              <w:rPr>
                <w:lang w:eastAsia="ru-RU"/>
              </w:rPr>
            </w:pPr>
            <w:r w:rsidRPr="004A0CC6">
              <w:rPr>
                <w:rFonts w:eastAsia="Times New Roman" w:cs="Times New Roman"/>
                <w:i/>
                <w:color w:val="0000FF"/>
                <w:sz w:val="20"/>
                <w:szCs w:val="20"/>
                <w:lang w:eastAsia="ru-RU"/>
              </w:rPr>
              <w:lastRenderedPageBreak/>
              <w:t>– Анкетирование родителей (законных представителей)</w:t>
            </w:r>
            <w:r w:rsidRPr="004A0CC6">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lastRenderedPageBreak/>
              <w:t>8,13</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7,20</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395168" w:rsidRPr="00E7394C">
                <w:rPr>
                  <w:rFonts w:eastAsia="Times New Roman" w:cs="Times New Roman"/>
                  <w:b/>
                  <w:bCs/>
                  <w:color w:val="0000FF"/>
                  <w:u w:val="single"/>
                  <w:lang w:eastAsia="ru-RU"/>
                </w:rPr>
                <w:t>4.2.</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395168" w:rsidRPr="004A0CC6"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9,06</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7,77</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20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395168" w:rsidRPr="00E7394C">
                <w:rPr>
                  <w:rFonts w:eastAsia="Times New Roman" w:cs="Times New Roman"/>
                  <w:b/>
                  <w:bCs/>
                  <w:color w:val="0000FF"/>
                  <w:u w:val="single"/>
                  <w:lang w:eastAsia="ru-RU"/>
                </w:rPr>
                <w:t>4.3.</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395168" w:rsidRPr="004A0CC6"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18,13</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16,56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16</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395168" w:rsidRPr="00E7394C">
                <w:rPr>
                  <w:rFonts w:eastAsia="Times New Roman" w:cs="Times New Roman"/>
                  <w:b/>
                  <w:bCs/>
                  <w:color w:val="0000FF"/>
                  <w:u w:val="single"/>
                  <w:lang w:eastAsia="ru-RU"/>
                </w:rPr>
                <w:t>4.4.</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395168" w:rsidRPr="004A0CC6"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9,06</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7,62</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395168" w:rsidRPr="00E7394C">
                <w:rPr>
                  <w:rFonts w:eastAsia="Times New Roman" w:cs="Times New Roman"/>
                  <w:b/>
                  <w:bCs/>
                  <w:color w:val="0000FF"/>
                  <w:u w:val="single"/>
                  <w:lang w:eastAsia="ru-RU"/>
                </w:rPr>
                <w:t>4.5.</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395168" w:rsidRPr="004A0CC6"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9,69</w:t>
            </w:r>
          </w:p>
        </w:tc>
        <w:tc>
          <w:tcPr>
            <w:tcW w:w="696" w:type="dxa"/>
            <w:shd w:val="clear" w:color="000000" w:fill="C6EFCE"/>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6100"/>
              </w:rPr>
            </w:pPr>
            <w:r w:rsidRPr="00685381">
              <w:rPr>
                <w:rFonts w:ascii="Calibri" w:hAnsi="Calibri"/>
                <w:b/>
                <w:bCs/>
                <w:i/>
                <w:color w:val="006100"/>
              </w:rPr>
              <w:t>8,30</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8</w:t>
            </w:r>
          </w:p>
        </w:tc>
      </w:tr>
      <w:tr w:rsidR="00395168" w:rsidTr="00D34AD1">
        <w:trPr>
          <w:trHeight w:val="315"/>
        </w:trPr>
        <w:tc>
          <w:tcPr>
            <w:tcW w:w="851" w:type="dxa"/>
            <w:shd w:val="clear" w:color="auto" w:fill="auto"/>
            <w:noWrap/>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20</w:t>
            </w:r>
          </w:p>
        </w:tc>
        <w:tc>
          <w:tcPr>
            <w:tcW w:w="1559" w:type="dxa"/>
            <w:shd w:val="clear" w:color="auto" w:fill="auto"/>
            <w:noWrap/>
            <w:tcMar>
              <w:top w:w="15" w:type="dxa"/>
              <w:left w:w="85" w:type="dxa"/>
              <w:bottom w:w="0" w:type="dxa"/>
              <w:right w:w="85" w:type="dxa"/>
            </w:tcMar>
            <w:hideMark/>
          </w:tcPr>
          <w:p w:rsidR="00395168" w:rsidRPr="00E7394C" w:rsidRDefault="00611EA8" w:rsidP="00D34AD1">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395168" w:rsidRPr="00E7394C">
                <w:rPr>
                  <w:rFonts w:eastAsia="Times New Roman" w:cs="Times New Roman"/>
                  <w:b/>
                  <w:bCs/>
                  <w:color w:val="0000FF"/>
                  <w:u w:val="single"/>
                  <w:lang w:eastAsia="ru-RU"/>
                </w:rPr>
                <w:t>4.6.</w:t>
              </w:r>
            </w:hyperlink>
          </w:p>
        </w:tc>
        <w:tc>
          <w:tcPr>
            <w:tcW w:w="10348" w:type="dxa"/>
            <w:shd w:val="clear" w:color="auto" w:fill="auto"/>
            <w:tcMar>
              <w:left w:w="85" w:type="dxa"/>
              <w:right w:w="85" w:type="dxa"/>
            </w:tcMar>
          </w:tcPr>
          <w:p w:rsidR="00395168" w:rsidRPr="004A0CC6" w:rsidRDefault="00395168" w:rsidP="00D34AD1">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395168" w:rsidRPr="004A0CC6" w:rsidRDefault="00395168" w:rsidP="00D34AD1">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auto" w:fill="auto"/>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11,67</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11,16</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16</w:t>
            </w:r>
          </w:p>
        </w:tc>
      </w:tr>
      <w:tr w:rsidR="00395168" w:rsidTr="00D34AD1">
        <w:trPr>
          <w:trHeight w:val="315"/>
        </w:trPr>
        <w:tc>
          <w:tcPr>
            <w:tcW w:w="851" w:type="dxa"/>
            <w:shd w:val="clear" w:color="auto" w:fill="auto"/>
            <w:tcMar>
              <w:top w:w="15" w:type="dxa"/>
              <w:left w:w="85" w:type="dxa"/>
              <w:bottom w:w="0" w:type="dxa"/>
              <w:right w:w="85" w:type="dxa"/>
            </w:tcMar>
            <w:hideMark/>
          </w:tcPr>
          <w:p w:rsidR="00395168" w:rsidRPr="00E7394C" w:rsidRDefault="00395168" w:rsidP="00D34AD1">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80</w:t>
            </w:r>
          </w:p>
        </w:tc>
        <w:tc>
          <w:tcPr>
            <w:tcW w:w="1559" w:type="dxa"/>
            <w:shd w:val="clear" w:color="auto" w:fill="auto"/>
            <w:noWrap/>
            <w:tcMar>
              <w:top w:w="15" w:type="dxa"/>
              <w:left w:w="57" w:type="dxa"/>
              <w:bottom w:w="0" w:type="dxa"/>
              <w:right w:w="57" w:type="dxa"/>
            </w:tcMar>
            <w:hideMark/>
          </w:tcPr>
          <w:p w:rsidR="00395168" w:rsidRPr="00E7394C" w:rsidRDefault="00611EA8" w:rsidP="00D34AD1">
            <w:pPr>
              <w:spacing w:after="0" w:line="216" w:lineRule="auto"/>
              <w:contextualSpacing/>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395168" w:rsidRPr="00E7394C">
                <w:rPr>
                  <w:rFonts w:eastAsia="Times New Roman" w:cs="Times New Roman"/>
                  <w:b/>
                  <w:bCs/>
                  <w:color w:val="C00000"/>
                  <w:u w:val="single"/>
                  <w:lang w:eastAsia="ru-RU"/>
                </w:rPr>
                <w:t>по критерию 4</w:t>
              </w:r>
            </w:hyperlink>
          </w:p>
        </w:tc>
        <w:tc>
          <w:tcPr>
            <w:tcW w:w="10348" w:type="dxa"/>
            <w:shd w:val="clear" w:color="auto" w:fill="auto"/>
            <w:tcMar>
              <w:left w:w="85" w:type="dxa"/>
              <w:right w:w="85" w:type="dxa"/>
            </w:tcMar>
          </w:tcPr>
          <w:p w:rsidR="00395168" w:rsidRPr="00E7394C" w:rsidRDefault="00395168" w:rsidP="00D34AD1">
            <w:pPr>
              <w:spacing w:after="0" w:line="216" w:lineRule="auto"/>
              <w:contextualSpacing/>
              <w:rPr>
                <w:b/>
                <w:color w:val="C00000"/>
              </w:rPr>
            </w:pPr>
            <w:r w:rsidRPr="00E7394C">
              <w:rPr>
                <w:b/>
                <w:color w:val="C00000"/>
              </w:rPr>
              <w:t>Удовлетворенность качеством образовательной деятельности организации</w:t>
            </w:r>
          </w:p>
        </w:tc>
        <w:tc>
          <w:tcPr>
            <w:tcW w:w="696" w:type="dxa"/>
            <w:shd w:val="clear" w:color="000000" w:fill="C6EFCE"/>
            <w:tcMar>
              <w:top w:w="15" w:type="dxa"/>
              <w:left w:w="85" w:type="dxa"/>
              <w:bottom w:w="0" w:type="dxa"/>
              <w:right w:w="85" w:type="dxa"/>
            </w:tcMar>
            <w:hideMark/>
          </w:tcPr>
          <w:p w:rsidR="00395168" w:rsidRDefault="00395168" w:rsidP="00D34AD1">
            <w:pPr>
              <w:spacing w:after="0"/>
              <w:contextualSpacing/>
              <w:rPr>
                <w:rFonts w:ascii="Calibri" w:hAnsi="Calibri"/>
                <w:b/>
                <w:bCs/>
                <w:color w:val="006100"/>
              </w:rPr>
            </w:pPr>
            <w:r>
              <w:rPr>
                <w:rFonts w:ascii="Calibri" w:hAnsi="Calibri"/>
                <w:b/>
                <w:bCs/>
                <w:color w:val="006100"/>
              </w:rPr>
              <w:t>65,73</w:t>
            </w:r>
          </w:p>
        </w:tc>
        <w:tc>
          <w:tcPr>
            <w:tcW w:w="696" w:type="dxa"/>
            <w:shd w:val="clear" w:color="auto" w:fill="auto"/>
            <w:tcMar>
              <w:top w:w="15" w:type="dxa"/>
              <w:left w:w="85" w:type="dxa"/>
              <w:bottom w:w="0" w:type="dxa"/>
              <w:right w:w="85"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58,61</w:t>
            </w:r>
          </w:p>
        </w:tc>
        <w:tc>
          <w:tcPr>
            <w:tcW w:w="696" w:type="dxa"/>
            <w:shd w:val="clear" w:color="000000" w:fill="FF0000"/>
            <w:noWrap/>
            <w:tcMar>
              <w:top w:w="15" w:type="dxa"/>
              <w:left w:w="85" w:type="dxa"/>
              <w:bottom w:w="0" w:type="dxa"/>
              <w:right w:w="85"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40</w:t>
            </w:r>
          </w:p>
        </w:tc>
        <w:tc>
          <w:tcPr>
            <w:tcW w:w="696" w:type="dxa"/>
            <w:shd w:val="clear" w:color="000000" w:fill="CCFF66"/>
            <w:noWrap/>
            <w:tcMar>
              <w:top w:w="15" w:type="dxa"/>
              <w:left w:w="85" w:type="dxa"/>
              <w:bottom w:w="0" w:type="dxa"/>
              <w:right w:w="85"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64</w:t>
            </w:r>
          </w:p>
        </w:tc>
      </w:tr>
      <w:tr w:rsidR="00395168" w:rsidTr="00D34AD1">
        <w:trPr>
          <w:trHeight w:val="315"/>
        </w:trPr>
        <w:tc>
          <w:tcPr>
            <w:tcW w:w="851" w:type="dxa"/>
            <w:shd w:val="clear" w:color="auto" w:fill="auto"/>
            <w:noWrap/>
            <w:tcMar>
              <w:top w:w="15" w:type="dxa"/>
              <w:left w:w="28" w:type="dxa"/>
              <w:bottom w:w="0" w:type="dxa"/>
              <w:right w:w="28" w:type="dxa"/>
            </w:tcMar>
            <w:hideMark/>
          </w:tcPr>
          <w:p w:rsidR="00395168" w:rsidRPr="00E7394C" w:rsidRDefault="00395168" w:rsidP="00D34AD1">
            <w:pPr>
              <w:spacing w:after="0" w:line="216" w:lineRule="auto"/>
              <w:contextualSpacing/>
              <w:rPr>
                <w:rFonts w:eastAsia="Times New Roman" w:cs="Times New Roman"/>
                <w:b/>
                <w:bCs/>
                <w:color w:val="7030A0"/>
                <w:sz w:val="24"/>
                <w:szCs w:val="24"/>
                <w:lang w:eastAsia="ru-RU"/>
              </w:rPr>
            </w:pPr>
            <w:r w:rsidRPr="00E7394C">
              <w:rPr>
                <w:rFonts w:eastAsia="Times New Roman" w:cs="Times New Roman"/>
                <w:b/>
                <w:bCs/>
                <w:color w:val="7030A0"/>
                <w:sz w:val="24"/>
                <w:szCs w:val="24"/>
                <w:lang w:eastAsia="ru-RU"/>
              </w:rPr>
              <w:t>279</w:t>
            </w:r>
          </w:p>
        </w:tc>
        <w:tc>
          <w:tcPr>
            <w:tcW w:w="11907" w:type="dxa"/>
            <w:gridSpan w:val="2"/>
            <w:shd w:val="clear" w:color="auto" w:fill="auto"/>
            <w:tcMar>
              <w:top w:w="15" w:type="dxa"/>
              <w:left w:w="28" w:type="dxa"/>
              <w:bottom w:w="0" w:type="dxa"/>
              <w:right w:w="28" w:type="dxa"/>
            </w:tcMar>
            <w:hideMark/>
          </w:tcPr>
          <w:p w:rsidR="00395168" w:rsidRDefault="00395168" w:rsidP="00D34AD1">
            <w:pPr>
              <w:spacing w:after="0"/>
              <w:contextualSpacing/>
              <w:rPr>
                <w:rFonts w:ascii="Calibri" w:hAnsi="Calibri"/>
                <w:b/>
                <w:bCs/>
                <w:color w:val="7030A0"/>
              </w:rPr>
            </w:pPr>
            <w:r w:rsidRPr="00E7394C">
              <w:rPr>
                <w:rFonts w:eastAsia="Times New Roman" w:cs="Times New Roman"/>
                <w:b/>
                <w:bCs/>
                <w:color w:val="7030A0"/>
                <w:sz w:val="24"/>
                <w:szCs w:val="24"/>
                <w:lang w:eastAsia="ru-RU"/>
              </w:rPr>
              <w:t>ИТОГО по всем критериям</w:t>
            </w:r>
          </w:p>
        </w:tc>
        <w:tc>
          <w:tcPr>
            <w:tcW w:w="696" w:type="dxa"/>
            <w:shd w:val="clear" w:color="auto" w:fill="auto"/>
            <w:tcMar>
              <w:top w:w="15" w:type="dxa"/>
              <w:left w:w="28" w:type="dxa"/>
              <w:bottom w:w="0" w:type="dxa"/>
              <w:right w:w="28" w:type="dxa"/>
            </w:tcMar>
            <w:hideMark/>
          </w:tcPr>
          <w:p w:rsidR="00395168" w:rsidRDefault="00395168" w:rsidP="00D34AD1">
            <w:pPr>
              <w:spacing w:after="0"/>
              <w:contextualSpacing/>
              <w:rPr>
                <w:rFonts w:ascii="Calibri" w:hAnsi="Calibri"/>
                <w:b/>
                <w:bCs/>
                <w:color w:val="7030A0"/>
              </w:rPr>
            </w:pPr>
            <w:r>
              <w:rPr>
                <w:rFonts w:ascii="Calibri" w:hAnsi="Calibri"/>
                <w:b/>
                <w:bCs/>
                <w:color w:val="7030A0"/>
              </w:rPr>
              <w:t>196,24</w:t>
            </w:r>
          </w:p>
        </w:tc>
        <w:tc>
          <w:tcPr>
            <w:tcW w:w="696" w:type="dxa"/>
            <w:shd w:val="clear" w:color="auto" w:fill="auto"/>
            <w:tcMar>
              <w:top w:w="15" w:type="dxa"/>
              <w:left w:w="28" w:type="dxa"/>
              <w:bottom w:w="0" w:type="dxa"/>
              <w:right w:w="28" w:type="dxa"/>
            </w:tcMar>
            <w:hideMark/>
          </w:tcPr>
          <w:p w:rsidR="00395168" w:rsidRPr="00685381" w:rsidRDefault="00395168" w:rsidP="00D34AD1">
            <w:pPr>
              <w:spacing w:after="0"/>
              <w:contextualSpacing/>
              <w:rPr>
                <w:rFonts w:ascii="Calibri" w:hAnsi="Calibri"/>
                <w:b/>
                <w:bCs/>
                <w:i/>
                <w:color w:val="000000"/>
              </w:rPr>
            </w:pPr>
            <w:r w:rsidRPr="00685381">
              <w:rPr>
                <w:rFonts w:ascii="Calibri" w:hAnsi="Calibri"/>
                <w:b/>
                <w:bCs/>
                <w:i/>
                <w:color w:val="000000"/>
              </w:rPr>
              <w:t>177,96</w:t>
            </w:r>
          </w:p>
        </w:tc>
        <w:tc>
          <w:tcPr>
            <w:tcW w:w="696" w:type="dxa"/>
            <w:shd w:val="clear" w:color="000000" w:fill="FF0000"/>
            <w:noWrap/>
            <w:tcMar>
              <w:top w:w="15" w:type="dxa"/>
              <w:left w:w="28" w:type="dxa"/>
              <w:bottom w:w="0" w:type="dxa"/>
              <w:right w:w="28" w:type="dxa"/>
            </w:tcMar>
            <w:hideMark/>
          </w:tcPr>
          <w:p w:rsidR="00395168" w:rsidRDefault="00395168" w:rsidP="00D34AD1">
            <w:pPr>
              <w:spacing w:after="0"/>
              <w:contextualSpacing/>
              <w:rPr>
                <w:rFonts w:ascii="Calibri" w:hAnsi="Calibri"/>
                <w:b/>
                <w:bCs/>
                <w:color w:val="FFFF00"/>
              </w:rPr>
            </w:pPr>
            <w:r>
              <w:rPr>
                <w:rFonts w:ascii="Calibri" w:hAnsi="Calibri"/>
                <w:b/>
                <w:bCs/>
                <w:color w:val="FFFF00"/>
              </w:rPr>
              <w:t>139,5</w:t>
            </w:r>
          </w:p>
        </w:tc>
        <w:tc>
          <w:tcPr>
            <w:tcW w:w="696" w:type="dxa"/>
            <w:shd w:val="clear" w:color="000000" w:fill="CCFF66"/>
            <w:noWrap/>
            <w:tcMar>
              <w:top w:w="15" w:type="dxa"/>
              <w:left w:w="28" w:type="dxa"/>
              <w:bottom w:w="0" w:type="dxa"/>
              <w:right w:w="28" w:type="dxa"/>
            </w:tcMar>
            <w:hideMark/>
          </w:tcPr>
          <w:p w:rsidR="00395168" w:rsidRDefault="00395168" w:rsidP="00D34AD1">
            <w:pPr>
              <w:spacing w:after="0"/>
              <w:contextualSpacing/>
              <w:rPr>
                <w:rFonts w:ascii="Calibri" w:hAnsi="Calibri"/>
                <w:b/>
                <w:bCs/>
                <w:color w:val="000000"/>
              </w:rPr>
            </w:pPr>
            <w:r>
              <w:rPr>
                <w:rFonts w:ascii="Calibri" w:hAnsi="Calibri"/>
                <w:b/>
                <w:bCs/>
                <w:color w:val="000000"/>
              </w:rPr>
              <w:t>223,2</w:t>
            </w:r>
          </w:p>
        </w:tc>
      </w:tr>
    </w:tbl>
    <w:p w:rsidR="00685381" w:rsidRPr="007446E3" w:rsidRDefault="00485DD4" w:rsidP="00685381">
      <w:pPr>
        <w:spacing w:after="0" w:line="240" w:lineRule="auto"/>
        <w:ind w:left="1410" w:hanging="1410"/>
        <w:contextualSpacing/>
        <w:rPr>
          <w:color w:val="000000"/>
          <w:sz w:val="20"/>
          <w:szCs w:val="20"/>
        </w:rPr>
      </w:pPr>
      <w:r>
        <w:rPr>
          <w:b/>
          <w:color w:val="000000"/>
          <w:sz w:val="24"/>
          <w:szCs w:val="24"/>
        </w:rPr>
        <w:t xml:space="preserve"> </w:t>
      </w:r>
      <w:r w:rsidR="00685381" w:rsidRPr="008E2D06">
        <w:rPr>
          <w:color w:val="000000"/>
          <w:sz w:val="20"/>
          <w:szCs w:val="20"/>
          <w:u w:val="single"/>
        </w:rPr>
        <w:t>Примечание:</w:t>
      </w:r>
      <w:r w:rsidR="00685381" w:rsidRPr="008E2D06">
        <w:rPr>
          <w:color w:val="000000"/>
          <w:sz w:val="20"/>
          <w:szCs w:val="20"/>
        </w:rPr>
        <w:t xml:space="preserve"> </w:t>
      </w:r>
      <w:r w:rsidR="00685381">
        <w:rPr>
          <w:color w:val="000000"/>
          <w:sz w:val="20"/>
          <w:szCs w:val="20"/>
        </w:rPr>
        <w:tab/>
        <w:t xml:space="preserve">– «субъективные» базовые аналитические факторы (БАФ) и показатели, их коды и максимальные баллы по ним </w:t>
      </w:r>
      <w:proofErr w:type="gramStart"/>
      <w:r w:rsidR="00685381">
        <w:rPr>
          <w:color w:val="000000"/>
          <w:sz w:val="20"/>
          <w:szCs w:val="20"/>
        </w:rPr>
        <w:t>выделены</w:t>
      </w:r>
      <w:proofErr w:type="gramEnd"/>
      <w:r w:rsidR="00685381">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685381" w:rsidRDefault="00685381" w:rsidP="00685381">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685381" w:rsidRPr="004542D5" w:rsidRDefault="00685381" w:rsidP="00685381">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685381" w:rsidRPr="0007109E" w:rsidRDefault="00685381" w:rsidP="00685381">
      <w:pPr>
        <w:spacing w:after="0" w:line="240" w:lineRule="auto"/>
        <w:contextualSpacing/>
        <w:rPr>
          <w:color w:val="000000"/>
          <w:sz w:val="20"/>
          <w:szCs w:val="20"/>
        </w:rPr>
      </w:pPr>
      <w:r w:rsidRPr="00783FFE">
        <w:rPr>
          <w:color w:val="000000"/>
          <w:sz w:val="24"/>
          <w:szCs w:val="24"/>
        </w:rPr>
        <w:tab/>
      </w:r>
      <w:r w:rsidRPr="00783FFE">
        <w:rPr>
          <w:color w:val="000000"/>
          <w:sz w:val="24"/>
          <w:szCs w:val="24"/>
        </w:rPr>
        <w:tab/>
      </w:r>
      <w:r>
        <w:rPr>
          <w:color w:val="000000"/>
          <w:sz w:val="24"/>
          <w:szCs w:val="24"/>
        </w:rPr>
        <w:t xml:space="preserve">– </w:t>
      </w:r>
      <w:r w:rsidRPr="009B2B7B">
        <w:rPr>
          <w:color w:val="000000"/>
          <w:sz w:val="20"/>
          <w:szCs w:val="20"/>
        </w:rPr>
        <w:t xml:space="preserve">ячейки </w:t>
      </w:r>
      <w:r>
        <w:rPr>
          <w:color w:val="000000"/>
          <w:sz w:val="20"/>
          <w:szCs w:val="20"/>
        </w:rPr>
        <w:t>ярко-</w:t>
      </w:r>
      <w:r w:rsidRPr="009B2B7B">
        <w:rPr>
          <w:color w:val="000000"/>
          <w:sz w:val="20"/>
          <w:szCs w:val="20"/>
        </w:rPr>
        <w:t xml:space="preserve">желтого цвета – для анализа </w:t>
      </w:r>
      <w:r>
        <w:rPr>
          <w:color w:val="000000"/>
          <w:sz w:val="20"/>
          <w:szCs w:val="20"/>
        </w:rPr>
        <w:t xml:space="preserve">одновременно по показателям 3.10 и 3.11, если сумма 3.10 и 3.11 меньше 25% от суммы максимумов для них; </w:t>
      </w:r>
    </w:p>
    <w:p w:rsidR="00685381" w:rsidRPr="009B2B7B" w:rsidRDefault="00685381" w:rsidP="00685381">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85DD4" w:rsidRDefault="00485DD4">
      <w:pPr>
        <w:rPr>
          <w:b/>
          <w:color w:val="000000"/>
          <w:sz w:val="24"/>
          <w:szCs w:val="24"/>
        </w:rPr>
      </w:pPr>
    </w:p>
    <w:p w:rsidR="00665828" w:rsidRDefault="00665828">
      <w:pPr>
        <w:rPr>
          <w:b/>
          <w:color w:val="000000"/>
          <w:sz w:val="24"/>
          <w:szCs w:val="24"/>
        </w:rPr>
      </w:pPr>
      <w:r>
        <w:rPr>
          <w:b/>
          <w:color w:val="000000"/>
          <w:sz w:val="24"/>
          <w:szCs w:val="24"/>
        </w:rPr>
        <w:br w:type="page"/>
      </w:r>
    </w:p>
    <w:p w:rsidR="00E408A6" w:rsidRDefault="00E408A6" w:rsidP="004B63DD">
      <w:pPr>
        <w:jc w:val="center"/>
        <w:rPr>
          <w:b/>
          <w:color w:val="000000"/>
          <w:sz w:val="24"/>
          <w:szCs w:val="24"/>
        </w:rPr>
      </w:pPr>
    </w:p>
    <w:p w:rsidR="005C2CAC" w:rsidRDefault="005C2CAC" w:rsidP="000E63F1">
      <w:pPr>
        <w:jc w:val="center"/>
        <w:rPr>
          <w:b/>
          <w:color w:val="000000"/>
          <w:sz w:val="24"/>
          <w:szCs w:val="24"/>
        </w:rPr>
      </w:pPr>
      <w:r>
        <w:rPr>
          <w:b/>
          <w:color w:val="000000"/>
          <w:sz w:val="24"/>
          <w:szCs w:val="24"/>
        </w:rPr>
        <w:t xml:space="preserve">Места </w:t>
      </w:r>
      <w:r w:rsidRPr="0055330A">
        <w:rPr>
          <w:b/>
          <w:color w:val="000000"/>
          <w:sz w:val="24"/>
          <w:szCs w:val="24"/>
        </w:rPr>
        <w:t>ДОУ</w:t>
      </w:r>
      <w:r>
        <w:rPr>
          <w:b/>
          <w:color w:val="000000"/>
          <w:sz w:val="24"/>
          <w:szCs w:val="24"/>
        </w:rPr>
        <w:t xml:space="preserve"> в разных</w:t>
      </w:r>
      <w:r w:rsidRPr="00A92CD5">
        <w:rPr>
          <w:b/>
          <w:color w:val="000000"/>
          <w:sz w:val="24"/>
          <w:szCs w:val="24"/>
        </w:rPr>
        <w:t xml:space="preserve"> рейтинг</w:t>
      </w:r>
      <w:r>
        <w:rPr>
          <w:b/>
          <w:color w:val="000000"/>
          <w:sz w:val="24"/>
          <w:szCs w:val="24"/>
        </w:rPr>
        <w:t xml:space="preserve">ах (рэнкингах) </w:t>
      </w:r>
      <w:r w:rsidR="00DD1150">
        <w:rPr>
          <w:b/>
          <w:color w:val="000000"/>
          <w:sz w:val="24"/>
          <w:szCs w:val="24"/>
        </w:rPr>
        <w:t xml:space="preserve">всех </w:t>
      </w:r>
      <w:r>
        <w:rPr>
          <w:b/>
          <w:color w:val="000000"/>
          <w:sz w:val="24"/>
          <w:szCs w:val="24"/>
        </w:rPr>
        <w:t xml:space="preserve">ДОУ </w:t>
      </w:r>
      <w:r w:rsidR="00665828" w:rsidRPr="00321DF1">
        <w:rPr>
          <w:b/>
          <w:color w:val="000000"/>
          <w:sz w:val="24"/>
          <w:szCs w:val="24"/>
        </w:rPr>
        <w:t>Эвенкийского муниципального района</w:t>
      </w:r>
      <w:r w:rsidR="00665828">
        <w:rPr>
          <w:b/>
          <w:color w:val="000000"/>
          <w:sz w:val="24"/>
          <w:szCs w:val="24"/>
        </w:rPr>
        <w:t xml:space="preserve"> </w:t>
      </w:r>
      <w:r>
        <w:rPr>
          <w:b/>
          <w:color w:val="000000"/>
          <w:sz w:val="24"/>
          <w:szCs w:val="24"/>
        </w:rPr>
        <w:t>(по итогам НОКОД)</w:t>
      </w:r>
    </w:p>
    <w:p w:rsidR="00665828" w:rsidRPr="00B60F29" w:rsidRDefault="00665828" w:rsidP="0097380C">
      <w:pPr>
        <w:spacing w:after="0" w:line="240" w:lineRule="auto"/>
        <w:contextualSpacing/>
        <w:jc w:val="center"/>
        <w:rPr>
          <w:b/>
          <w:color w:val="000000"/>
          <w:sz w:val="24"/>
          <w:szCs w:val="24"/>
        </w:rPr>
      </w:pPr>
    </w:p>
    <w:tbl>
      <w:tblPr>
        <w:tblW w:w="5652" w:type="dxa"/>
        <w:tblInd w:w="4748" w:type="dxa"/>
        <w:tblLayout w:type="fixed"/>
        <w:tblCellMar>
          <w:left w:w="28" w:type="dxa"/>
          <w:right w:w="28" w:type="dxa"/>
        </w:tblCellMar>
        <w:tblLook w:val="04A0"/>
      </w:tblPr>
      <w:tblGrid>
        <w:gridCol w:w="1091"/>
        <w:gridCol w:w="1725"/>
        <w:gridCol w:w="694"/>
        <w:gridCol w:w="754"/>
        <w:gridCol w:w="694"/>
        <w:gridCol w:w="694"/>
      </w:tblGrid>
      <w:tr w:rsidR="00395168" w:rsidRPr="00665828" w:rsidTr="00395168">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max</w:t>
            </w:r>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17.</w:t>
            </w:r>
          </w:p>
        </w:tc>
        <w:tc>
          <w:tcPr>
            <w:tcW w:w="754" w:type="dxa"/>
            <w:tcBorders>
              <w:top w:val="single" w:sz="4" w:space="0" w:color="auto"/>
              <w:left w:val="nil"/>
              <w:bottom w:val="nil"/>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395168" w:rsidRPr="00665828" w:rsidRDefault="00395168"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&lt; 0,5 max</w:t>
            </w:r>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max</w:t>
            </w:r>
          </w:p>
        </w:tc>
      </w:tr>
      <w:tr w:rsidR="00395168" w:rsidRPr="00665828" w:rsidTr="00395168">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171</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ИТОГО</w:t>
            </w:r>
          </w:p>
        </w:tc>
        <w:tc>
          <w:tcPr>
            <w:tcW w:w="694" w:type="dxa"/>
            <w:tcBorders>
              <w:top w:val="single" w:sz="8" w:space="0" w:color="auto"/>
              <w:left w:val="single" w:sz="8" w:space="0" w:color="auto"/>
              <w:bottom w:val="single" w:sz="8" w:space="0" w:color="auto"/>
              <w:right w:val="single" w:sz="8" w:space="0" w:color="auto"/>
            </w:tcBorders>
            <w:shd w:val="clear" w:color="000000" w:fill="C6EFCE"/>
            <w:vAlign w:val="center"/>
            <w:hideMark/>
          </w:tcPr>
          <w:p w:rsidR="00395168" w:rsidRPr="00665828" w:rsidRDefault="00395168" w:rsidP="00665828">
            <w:pPr>
              <w:spacing w:after="0" w:line="240" w:lineRule="auto"/>
              <w:jc w:val="center"/>
              <w:rPr>
                <w:rFonts w:ascii="Calibri" w:eastAsia="Times New Roman" w:hAnsi="Calibri" w:cs="Times New Roman"/>
                <w:b/>
                <w:bCs/>
                <w:color w:val="006100"/>
                <w:lang w:eastAsia="ru-RU"/>
              </w:rPr>
            </w:pPr>
            <w:r w:rsidRPr="00665828">
              <w:rPr>
                <w:rFonts w:ascii="Calibri" w:eastAsia="Times New Roman" w:hAnsi="Calibri" w:cs="Times New Roman"/>
                <w:b/>
                <w:bCs/>
                <w:color w:val="006100"/>
                <w:lang w:eastAsia="ru-RU"/>
              </w:rPr>
              <w:t>145,57</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127,99</w:t>
            </w:r>
          </w:p>
        </w:tc>
        <w:tc>
          <w:tcPr>
            <w:tcW w:w="694" w:type="dxa"/>
            <w:tcBorders>
              <w:top w:val="nil"/>
              <w:left w:val="single" w:sz="4" w:space="0" w:color="auto"/>
              <w:bottom w:val="nil"/>
              <w:right w:val="single" w:sz="4" w:space="0" w:color="auto"/>
            </w:tcBorders>
            <w:shd w:val="clear" w:color="000000" w:fill="FF0000"/>
            <w:noWrap/>
            <w:vAlign w:val="center"/>
            <w:hideMark/>
          </w:tcPr>
          <w:p w:rsidR="00395168" w:rsidRPr="00665828" w:rsidRDefault="00395168" w:rsidP="00665828">
            <w:pPr>
              <w:spacing w:after="0" w:line="240" w:lineRule="auto"/>
              <w:jc w:val="center"/>
              <w:rPr>
                <w:rFonts w:ascii="Calibri" w:eastAsia="Times New Roman" w:hAnsi="Calibri" w:cs="Times New Roman"/>
                <w:b/>
                <w:bCs/>
                <w:color w:val="FFFF00"/>
                <w:lang w:eastAsia="ru-RU"/>
              </w:rPr>
            </w:pPr>
            <w:r w:rsidRPr="00665828">
              <w:rPr>
                <w:rFonts w:ascii="Calibri" w:eastAsia="Times New Roman" w:hAnsi="Calibri" w:cs="Times New Roman"/>
                <w:b/>
                <w:bCs/>
                <w:color w:val="FFFF00"/>
                <w:lang w:eastAsia="ru-RU"/>
              </w:rPr>
              <w:t>85,5</w:t>
            </w:r>
          </w:p>
        </w:tc>
        <w:tc>
          <w:tcPr>
            <w:tcW w:w="694" w:type="dxa"/>
            <w:tcBorders>
              <w:top w:val="nil"/>
              <w:left w:val="nil"/>
              <w:bottom w:val="nil"/>
              <w:right w:val="single" w:sz="4" w:space="0" w:color="auto"/>
            </w:tcBorders>
            <w:shd w:val="clear" w:color="000000" w:fill="CCFF66"/>
            <w:noWrap/>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lang w:eastAsia="ru-RU"/>
              </w:rPr>
            </w:pPr>
            <w:r w:rsidRPr="00665828">
              <w:rPr>
                <w:rFonts w:ascii="Calibri" w:eastAsia="Times New Roman" w:hAnsi="Calibri" w:cs="Times New Roman"/>
                <w:b/>
                <w:bCs/>
                <w:color w:val="000000"/>
                <w:lang w:eastAsia="ru-RU"/>
              </w:rPr>
              <w:t>136,8</w:t>
            </w:r>
          </w:p>
        </w:tc>
      </w:tr>
      <w:tr w:rsidR="00395168" w:rsidRPr="00665828" w:rsidTr="00395168">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место в рэнкинге</w:t>
            </w:r>
          </w:p>
        </w:tc>
        <w:tc>
          <w:tcPr>
            <w:tcW w:w="1725" w:type="dxa"/>
            <w:tcBorders>
              <w:top w:val="nil"/>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субъективный рэнкинг</w:t>
            </w:r>
          </w:p>
        </w:tc>
        <w:tc>
          <w:tcPr>
            <w:tcW w:w="694" w:type="dxa"/>
            <w:tcBorders>
              <w:top w:val="nil"/>
              <w:left w:val="nil"/>
              <w:bottom w:val="single" w:sz="4" w:space="0" w:color="auto"/>
              <w:right w:val="single" w:sz="4" w:space="0" w:color="auto"/>
            </w:tcBorders>
            <w:shd w:val="clear" w:color="auto" w:fill="auto"/>
            <w:noWrap/>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8</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r>
      <w:tr w:rsidR="00395168" w:rsidRPr="00665828" w:rsidTr="00395168">
        <w:trPr>
          <w:trHeight w:val="315"/>
        </w:trPr>
        <w:tc>
          <w:tcPr>
            <w:tcW w:w="1091"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r w:rsidR="00395168" w:rsidRPr="00665828" w:rsidTr="00395168">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max</w:t>
            </w:r>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17.</w:t>
            </w:r>
          </w:p>
        </w:tc>
        <w:tc>
          <w:tcPr>
            <w:tcW w:w="754" w:type="dxa"/>
            <w:tcBorders>
              <w:top w:val="single" w:sz="4" w:space="0" w:color="auto"/>
              <w:left w:val="nil"/>
              <w:bottom w:val="nil"/>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395168" w:rsidRPr="00665828" w:rsidRDefault="00395168"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&lt; 0,5 max</w:t>
            </w:r>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max</w:t>
            </w:r>
          </w:p>
        </w:tc>
      </w:tr>
      <w:tr w:rsidR="00395168" w:rsidRPr="00665828" w:rsidTr="00395168">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279</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ИТОГО</w:t>
            </w:r>
          </w:p>
        </w:tc>
        <w:tc>
          <w:tcPr>
            <w:tcW w:w="694" w:type="dxa"/>
            <w:tcBorders>
              <w:top w:val="single" w:sz="8" w:space="0" w:color="auto"/>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196,24</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i/>
                <w:iCs/>
                <w:color w:val="000000"/>
                <w:lang w:eastAsia="ru-RU"/>
              </w:rPr>
            </w:pPr>
            <w:r w:rsidRPr="00665828">
              <w:rPr>
                <w:rFonts w:ascii="Calibri" w:eastAsia="Times New Roman" w:hAnsi="Calibri" w:cs="Times New Roman"/>
                <w:b/>
                <w:bCs/>
                <w:i/>
                <w:iCs/>
                <w:color w:val="000000"/>
                <w:lang w:eastAsia="ru-RU"/>
              </w:rPr>
              <w:t>177,96</w:t>
            </w:r>
          </w:p>
        </w:tc>
        <w:tc>
          <w:tcPr>
            <w:tcW w:w="694" w:type="dxa"/>
            <w:tcBorders>
              <w:top w:val="nil"/>
              <w:left w:val="single" w:sz="4" w:space="0" w:color="auto"/>
              <w:bottom w:val="nil"/>
              <w:right w:val="single" w:sz="4" w:space="0" w:color="auto"/>
            </w:tcBorders>
            <w:shd w:val="clear" w:color="000000" w:fill="FF0000"/>
            <w:vAlign w:val="center"/>
            <w:hideMark/>
          </w:tcPr>
          <w:p w:rsidR="00395168" w:rsidRPr="00665828" w:rsidRDefault="00395168" w:rsidP="00665828">
            <w:pPr>
              <w:spacing w:after="0" w:line="240" w:lineRule="auto"/>
              <w:jc w:val="center"/>
              <w:rPr>
                <w:rFonts w:ascii="Calibri" w:eastAsia="Times New Roman" w:hAnsi="Calibri" w:cs="Times New Roman"/>
                <w:b/>
                <w:bCs/>
                <w:color w:val="FFFF00"/>
                <w:lang w:eastAsia="ru-RU"/>
              </w:rPr>
            </w:pPr>
            <w:r w:rsidRPr="00665828">
              <w:rPr>
                <w:rFonts w:ascii="Calibri" w:eastAsia="Times New Roman" w:hAnsi="Calibri" w:cs="Times New Roman"/>
                <w:b/>
                <w:bCs/>
                <w:color w:val="FFFF00"/>
                <w:lang w:eastAsia="ru-RU"/>
              </w:rPr>
              <w:t>139,5</w:t>
            </w:r>
          </w:p>
        </w:tc>
        <w:tc>
          <w:tcPr>
            <w:tcW w:w="694" w:type="dxa"/>
            <w:tcBorders>
              <w:top w:val="nil"/>
              <w:left w:val="nil"/>
              <w:bottom w:val="nil"/>
              <w:right w:val="single" w:sz="4" w:space="0" w:color="auto"/>
            </w:tcBorders>
            <w:shd w:val="clear" w:color="000000" w:fill="CCFF66"/>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lang w:eastAsia="ru-RU"/>
              </w:rPr>
            </w:pPr>
            <w:r w:rsidRPr="00665828">
              <w:rPr>
                <w:rFonts w:ascii="Calibri" w:eastAsia="Times New Roman" w:hAnsi="Calibri" w:cs="Times New Roman"/>
                <w:b/>
                <w:bCs/>
                <w:color w:val="000000"/>
                <w:lang w:eastAsia="ru-RU"/>
              </w:rPr>
              <w:t>223,2</w:t>
            </w:r>
          </w:p>
        </w:tc>
      </w:tr>
      <w:tr w:rsidR="00395168" w:rsidRPr="00665828" w:rsidTr="00395168">
        <w:trPr>
          <w:trHeight w:val="60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место в рейтинге</w:t>
            </w:r>
          </w:p>
        </w:tc>
        <w:tc>
          <w:tcPr>
            <w:tcW w:w="1725" w:type="dxa"/>
            <w:tcBorders>
              <w:top w:val="nil"/>
              <w:left w:val="nil"/>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(общий) рейтинг</w:t>
            </w:r>
          </w:p>
        </w:tc>
        <w:tc>
          <w:tcPr>
            <w:tcW w:w="694" w:type="dxa"/>
            <w:tcBorders>
              <w:top w:val="nil"/>
              <w:left w:val="nil"/>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7</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r>
      <w:tr w:rsidR="00395168" w:rsidRPr="00665828" w:rsidTr="00395168">
        <w:trPr>
          <w:trHeight w:val="315"/>
        </w:trPr>
        <w:tc>
          <w:tcPr>
            <w:tcW w:w="1091"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r w:rsidR="00395168" w:rsidRPr="00665828" w:rsidTr="00395168">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max</w:t>
            </w:r>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single" w:sz="8"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17.</w:t>
            </w:r>
          </w:p>
        </w:tc>
        <w:tc>
          <w:tcPr>
            <w:tcW w:w="754" w:type="dxa"/>
            <w:tcBorders>
              <w:top w:val="single" w:sz="4" w:space="0" w:color="auto"/>
              <w:left w:val="nil"/>
              <w:bottom w:val="single" w:sz="8" w:space="0" w:color="auto"/>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395168" w:rsidRPr="00665828" w:rsidRDefault="00395168"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&lt; 0,5 max</w:t>
            </w:r>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395168" w:rsidRPr="00665828" w:rsidRDefault="00395168"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max</w:t>
            </w:r>
          </w:p>
        </w:tc>
      </w:tr>
      <w:tr w:rsidR="00395168" w:rsidRPr="00665828" w:rsidTr="00395168">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168" w:rsidRDefault="00395168" w:rsidP="006F4E05">
            <w:pPr>
              <w:spacing w:after="0" w:line="240" w:lineRule="auto"/>
              <w:jc w:val="center"/>
              <w:rPr>
                <w:rFonts w:ascii="Calibri" w:hAnsi="Calibri"/>
                <w:b/>
                <w:bCs/>
                <w:color w:val="7030A0"/>
              </w:rPr>
            </w:pPr>
            <w:r>
              <w:rPr>
                <w:rFonts w:ascii="Calibri" w:hAnsi="Calibri"/>
                <w:b/>
                <w:bCs/>
                <w:color w:val="7030A0"/>
              </w:rPr>
              <w:t>108</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395168" w:rsidRDefault="00395168" w:rsidP="006F4E05">
            <w:pPr>
              <w:spacing w:after="0" w:line="240" w:lineRule="auto"/>
              <w:jc w:val="center"/>
              <w:rPr>
                <w:rFonts w:ascii="Calibri" w:hAnsi="Calibri"/>
                <w:b/>
                <w:bCs/>
                <w:color w:val="7030A0"/>
              </w:rPr>
            </w:pPr>
            <w:r>
              <w:rPr>
                <w:rFonts w:ascii="Calibri" w:hAnsi="Calibri"/>
                <w:b/>
                <w:bCs/>
                <w:color w:val="7030A0"/>
              </w:rPr>
              <w:t>ИТОГО</w:t>
            </w:r>
          </w:p>
        </w:tc>
        <w:tc>
          <w:tcPr>
            <w:tcW w:w="694" w:type="dxa"/>
            <w:tcBorders>
              <w:top w:val="single" w:sz="8" w:space="0" w:color="auto"/>
              <w:left w:val="nil"/>
              <w:bottom w:val="single" w:sz="8" w:space="0" w:color="auto"/>
              <w:right w:val="single" w:sz="8" w:space="0" w:color="auto"/>
            </w:tcBorders>
            <w:shd w:val="clear" w:color="auto" w:fill="FFC7CE"/>
            <w:hideMark/>
          </w:tcPr>
          <w:p w:rsidR="00395168" w:rsidRDefault="00395168" w:rsidP="006F4E05">
            <w:pPr>
              <w:spacing w:after="0" w:line="240" w:lineRule="auto"/>
              <w:jc w:val="center"/>
              <w:rPr>
                <w:rFonts w:ascii="Calibri" w:hAnsi="Calibri"/>
                <w:b/>
                <w:bCs/>
                <w:color w:val="9C0006"/>
              </w:rPr>
            </w:pPr>
            <w:r>
              <w:rPr>
                <w:rFonts w:ascii="Calibri" w:hAnsi="Calibri"/>
                <w:b/>
                <w:bCs/>
                <w:color w:val="9C0006"/>
              </w:rPr>
              <w:t>50,67</w:t>
            </w:r>
          </w:p>
        </w:tc>
        <w:tc>
          <w:tcPr>
            <w:tcW w:w="754" w:type="dxa"/>
            <w:tcBorders>
              <w:top w:val="single" w:sz="8" w:space="0" w:color="auto"/>
              <w:left w:val="nil"/>
              <w:bottom w:val="single" w:sz="8" w:space="0" w:color="auto"/>
              <w:right w:val="single" w:sz="8" w:space="0" w:color="auto"/>
            </w:tcBorders>
            <w:shd w:val="clear" w:color="auto" w:fill="FFC7CE"/>
            <w:hideMark/>
          </w:tcPr>
          <w:p w:rsidR="00395168" w:rsidRDefault="00395168" w:rsidP="006F4E05">
            <w:pPr>
              <w:spacing w:after="0" w:line="240" w:lineRule="auto"/>
              <w:jc w:val="center"/>
              <w:rPr>
                <w:rFonts w:ascii="Calibri" w:hAnsi="Calibri"/>
                <w:b/>
                <w:bCs/>
                <w:color w:val="9C0006"/>
              </w:rPr>
            </w:pPr>
            <w:r>
              <w:rPr>
                <w:rFonts w:ascii="Calibri" w:hAnsi="Calibri"/>
                <w:b/>
                <w:bCs/>
                <w:color w:val="9C0006"/>
              </w:rPr>
              <w:t>49,96</w:t>
            </w:r>
          </w:p>
        </w:tc>
        <w:tc>
          <w:tcPr>
            <w:tcW w:w="694" w:type="dxa"/>
            <w:tcBorders>
              <w:top w:val="nil"/>
              <w:left w:val="single" w:sz="4" w:space="0" w:color="auto"/>
              <w:bottom w:val="nil"/>
              <w:right w:val="single" w:sz="4" w:space="0" w:color="auto"/>
            </w:tcBorders>
            <w:shd w:val="clear" w:color="000000" w:fill="FF0000"/>
            <w:noWrap/>
            <w:vAlign w:val="center"/>
            <w:hideMark/>
          </w:tcPr>
          <w:p w:rsidR="00395168" w:rsidRDefault="00395168" w:rsidP="006F4E05">
            <w:pPr>
              <w:spacing w:after="0" w:line="240" w:lineRule="auto"/>
              <w:jc w:val="center"/>
              <w:rPr>
                <w:rFonts w:ascii="Calibri" w:hAnsi="Calibri"/>
                <w:b/>
                <w:bCs/>
                <w:color w:val="FFFF00"/>
              </w:rPr>
            </w:pPr>
            <w:r>
              <w:rPr>
                <w:rFonts w:ascii="Calibri" w:hAnsi="Calibri"/>
                <w:b/>
                <w:bCs/>
                <w:color w:val="FFFF00"/>
              </w:rPr>
              <w:t>54</w:t>
            </w:r>
          </w:p>
        </w:tc>
        <w:tc>
          <w:tcPr>
            <w:tcW w:w="694" w:type="dxa"/>
            <w:tcBorders>
              <w:top w:val="nil"/>
              <w:left w:val="nil"/>
              <w:bottom w:val="nil"/>
              <w:right w:val="single" w:sz="4" w:space="0" w:color="auto"/>
            </w:tcBorders>
            <w:shd w:val="clear" w:color="000000" w:fill="CCFF66"/>
            <w:noWrap/>
            <w:vAlign w:val="center"/>
            <w:hideMark/>
          </w:tcPr>
          <w:p w:rsidR="00395168" w:rsidRDefault="00395168" w:rsidP="006F4E05">
            <w:pPr>
              <w:spacing w:after="0" w:line="240" w:lineRule="auto"/>
              <w:jc w:val="center"/>
              <w:rPr>
                <w:rFonts w:ascii="Calibri" w:hAnsi="Calibri"/>
                <w:b/>
                <w:bCs/>
                <w:color w:val="000000"/>
              </w:rPr>
            </w:pPr>
            <w:r>
              <w:rPr>
                <w:rFonts w:ascii="Calibri" w:hAnsi="Calibri"/>
                <w:b/>
                <w:bCs/>
                <w:color w:val="000000"/>
              </w:rPr>
              <w:t>86,4</w:t>
            </w:r>
          </w:p>
        </w:tc>
      </w:tr>
      <w:tr w:rsidR="00395168" w:rsidRPr="00665828" w:rsidTr="00395168">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395168" w:rsidRDefault="00395168" w:rsidP="006F4E05">
            <w:pPr>
              <w:spacing w:after="0" w:line="240" w:lineRule="auto"/>
              <w:jc w:val="center"/>
              <w:rPr>
                <w:rFonts w:ascii="Calibri" w:hAnsi="Calibri"/>
                <w:color w:val="7030A0"/>
              </w:rPr>
            </w:pPr>
            <w:r>
              <w:rPr>
                <w:rFonts w:ascii="Calibri" w:hAnsi="Calibri"/>
                <w:color w:val="7030A0"/>
              </w:rPr>
              <w:t>место в рэнкинге</w:t>
            </w:r>
          </w:p>
        </w:tc>
        <w:tc>
          <w:tcPr>
            <w:tcW w:w="1725" w:type="dxa"/>
            <w:tcBorders>
              <w:top w:val="nil"/>
              <w:left w:val="nil"/>
              <w:bottom w:val="single" w:sz="8" w:space="0" w:color="auto"/>
              <w:right w:val="single" w:sz="8" w:space="0" w:color="auto"/>
            </w:tcBorders>
            <w:shd w:val="clear" w:color="auto" w:fill="auto"/>
            <w:vAlign w:val="center"/>
            <w:hideMark/>
          </w:tcPr>
          <w:p w:rsidR="00395168" w:rsidRDefault="00395168" w:rsidP="006F4E05">
            <w:pPr>
              <w:spacing w:after="0" w:line="240" w:lineRule="auto"/>
              <w:jc w:val="center"/>
              <w:rPr>
                <w:rFonts w:ascii="Calibri" w:hAnsi="Calibri"/>
                <w:b/>
                <w:bCs/>
                <w:color w:val="7030A0"/>
              </w:rPr>
            </w:pPr>
            <w:r>
              <w:rPr>
                <w:rFonts w:ascii="Calibri" w:hAnsi="Calibri"/>
                <w:b/>
                <w:bCs/>
                <w:color w:val="7030A0"/>
              </w:rPr>
              <w:t>объективный рэнкинг</w:t>
            </w:r>
          </w:p>
        </w:tc>
        <w:tc>
          <w:tcPr>
            <w:tcW w:w="694" w:type="dxa"/>
            <w:tcBorders>
              <w:top w:val="nil"/>
              <w:left w:val="nil"/>
              <w:bottom w:val="single" w:sz="4" w:space="0" w:color="auto"/>
              <w:right w:val="single" w:sz="4" w:space="0" w:color="auto"/>
            </w:tcBorders>
            <w:shd w:val="clear" w:color="auto" w:fill="auto"/>
            <w:noWrap/>
            <w:vAlign w:val="center"/>
            <w:hideMark/>
          </w:tcPr>
          <w:p w:rsidR="00395168" w:rsidRDefault="00395168" w:rsidP="006F4E05">
            <w:pPr>
              <w:spacing w:after="0" w:line="240" w:lineRule="auto"/>
              <w:jc w:val="center"/>
              <w:rPr>
                <w:rFonts w:ascii="Calibri" w:hAnsi="Calibri"/>
                <w:b/>
                <w:bCs/>
                <w:color w:val="7030A0"/>
              </w:rPr>
            </w:pPr>
            <w:r>
              <w:rPr>
                <w:rFonts w:ascii="Calibri" w:hAnsi="Calibri"/>
                <w:b/>
                <w:bCs/>
                <w:color w:val="7030A0"/>
              </w:rPr>
              <w:t>10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395168" w:rsidRDefault="00395168" w:rsidP="006F4E05">
            <w:pPr>
              <w:spacing w:after="0" w:line="240" w:lineRule="auto"/>
              <w:rPr>
                <w:rFonts w:ascii="Calibri" w:hAnsi="Calibri"/>
                <w:color w:val="000000"/>
              </w:rPr>
            </w:pPr>
            <w:r>
              <w:rPr>
                <w:rFonts w:ascii="Calibri" w:hAnsi="Calibri"/>
                <w:color w:val="00000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395168" w:rsidRDefault="00395168" w:rsidP="006F4E05">
            <w:pPr>
              <w:spacing w:after="0" w:line="240" w:lineRule="auto"/>
              <w:rPr>
                <w:rFonts w:ascii="Calibri" w:hAnsi="Calibri"/>
                <w:color w:val="000000"/>
              </w:rPr>
            </w:pPr>
            <w:r>
              <w:rPr>
                <w:rFonts w:ascii="Calibri" w:hAnsi="Calibri"/>
                <w:color w:val="00000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395168" w:rsidRDefault="00395168" w:rsidP="006F4E05">
            <w:pPr>
              <w:spacing w:after="0" w:line="240" w:lineRule="auto"/>
              <w:rPr>
                <w:rFonts w:ascii="Calibri" w:hAnsi="Calibri"/>
                <w:color w:val="000000"/>
              </w:rPr>
            </w:pPr>
            <w:r>
              <w:rPr>
                <w:rFonts w:ascii="Calibri" w:hAnsi="Calibri"/>
                <w:color w:val="000000"/>
              </w:rPr>
              <w:t> </w:t>
            </w:r>
          </w:p>
        </w:tc>
      </w:tr>
      <w:tr w:rsidR="00395168" w:rsidRPr="00665828" w:rsidTr="00395168">
        <w:trPr>
          <w:trHeight w:val="315"/>
        </w:trPr>
        <w:tc>
          <w:tcPr>
            <w:tcW w:w="1091"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r w:rsidR="00395168" w:rsidRPr="00665828" w:rsidTr="00395168">
        <w:trPr>
          <w:trHeight w:val="495"/>
        </w:trPr>
        <w:tc>
          <w:tcPr>
            <w:tcW w:w="28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395168" w:rsidRPr="00665828" w:rsidRDefault="00395168"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17.</w:t>
            </w: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r w:rsidR="00395168" w:rsidRPr="00665828" w:rsidTr="00395168">
        <w:trPr>
          <w:trHeight w:val="315"/>
        </w:trPr>
        <w:tc>
          <w:tcPr>
            <w:tcW w:w="28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sz w:val="20"/>
                <w:szCs w:val="20"/>
                <w:lang w:eastAsia="ru-RU"/>
              </w:rPr>
            </w:pPr>
            <w:r w:rsidRPr="00665828">
              <w:rPr>
                <w:rFonts w:ascii="Calibri" w:eastAsia="Times New Roman" w:hAnsi="Calibri" w:cs="Times New Roman"/>
                <w:b/>
                <w:bCs/>
                <w:color w:val="7030A0"/>
                <w:sz w:val="20"/>
                <w:szCs w:val="20"/>
                <w:lang w:eastAsia="ru-RU"/>
              </w:rPr>
              <w:t>Сумма мест ОУ по «объективному» и «субъективному» рэнкингам</w:t>
            </w:r>
          </w:p>
        </w:tc>
        <w:tc>
          <w:tcPr>
            <w:tcW w:w="694" w:type="dxa"/>
            <w:tcBorders>
              <w:top w:val="single" w:sz="8" w:space="0" w:color="auto"/>
              <w:left w:val="nil"/>
              <w:bottom w:val="single" w:sz="8" w:space="0" w:color="auto"/>
              <w:right w:val="single" w:sz="8" w:space="0" w:color="auto"/>
            </w:tcBorders>
            <w:shd w:val="clear" w:color="auto" w:fill="auto"/>
            <w:vAlign w:val="center"/>
            <w:hideMark/>
          </w:tcPr>
          <w:p w:rsidR="00395168" w:rsidRPr="00A52E67" w:rsidRDefault="00395168" w:rsidP="009C4A72">
            <w:pPr>
              <w:spacing w:after="0" w:line="240" w:lineRule="auto"/>
              <w:jc w:val="center"/>
              <w:rPr>
                <w:rFonts w:ascii="Calibri" w:hAnsi="Calibri"/>
                <w:b/>
                <w:bCs/>
              </w:rPr>
            </w:pPr>
            <w:r w:rsidRPr="00A52E67">
              <w:rPr>
                <w:rFonts w:ascii="Calibri" w:hAnsi="Calibri"/>
                <w:b/>
                <w:bCs/>
              </w:rPr>
              <w:t>18</w:t>
            </w: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r w:rsidR="00395168" w:rsidRPr="00665828" w:rsidTr="00395168">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место в рейтинге</w:t>
            </w:r>
          </w:p>
        </w:tc>
        <w:tc>
          <w:tcPr>
            <w:tcW w:w="1725" w:type="dxa"/>
            <w:tcBorders>
              <w:top w:val="nil"/>
              <w:left w:val="single" w:sz="8" w:space="0" w:color="auto"/>
              <w:bottom w:val="single" w:sz="8" w:space="0" w:color="auto"/>
              <w:right w:val="single" w:sz="8" w:space="0" w:color="auto"/>
            </w:tcBorders>
            <w:shd w:val="clear" w:color="auto" w:fill="auto"/>
            <w:vAlign w:val="center"/>
            <w:hideMark/>
          </w:tcPr>
          <w:p w:rsidR="00395168" w:rsidRPr="00665828" w:rsidRDefault="00395168"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 xml:space="preserve"> (раздельный) рейтинг мест </w:t>
            </w:r>
          </w:p>
        </w:tc>
        <w:tc>
          <w:tcPr>
            <w:tcW w:w="694" w:type="dxa"/>
            <w:tcBorders>
              <w:top w:val="nil"/>
              <w:left w:val="nil"/>
              <w:bottom w:val="single" w:sz="4" w:space="0" w:color="auto"/>
              <w:right w:val="single" w:sz="4" w:space="0" w:color="auto"/>
            </w:tcBorders>
            <w:shd w:val="clear" w:color="auto" w:fill="auto"/>
            <w:noWrap/>
            <w:vAlign w:val="center"/>
            <w:hideMark/>
          </w:tcPr>
          <w:p w:rsidR="00395168" w:rsidRPr="00665828" w:rsidRDefault="00395168" w:rsidP="00395168">
            <w:pPr>
              <w:spacing w:line="192" w:lineRule="auto"/>
              <w:contextualSpacing/>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8</w:t>
            </w:r>
            <w:r>
              <w:rPr>
                <w:rFonts w:ascii="Calibri" w:eastAsia="Times New Roman" w:hAnsi="Calibri" w:cs="Times New Roman"/>
                <w:b/>
                <w:bCs/>
                <w:color w:val="7030A0"/>
                <w:lang w:eastAsia="ru-RU"/>
              </w:rPr>
              <w:t>-9</w:t>
            </w:r>
          </w:p>
        </w:tc>
        <w:tc>
          <w:tcPr>
            <w:tcW w:w="75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395168" w:rsidRPr="00665828" w:rsidRDefault="00395168" w:rsidP="00665828">
            <w:pPr>
              <w:spacing w:after="0" w:line="240" w:lineRule="auto"/>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Pr="00665828" w:rsidRDefault="00665828" w:rsidP="0097380C">
      <w:pPr>
        <w:spacing w:after="0" w:line="240" w:lineRule="auto"/>
        <w:contextualSpacing/>
        <w:jc w:val="center"/>
        <w:rPr>
          <w:b/>
          <w:color w:val="000000"/>
          <w:sz w:val="24"/>
          <w:szCs w:val="24"/>
          <w:lang w:val="en-US"/>
        </w:rPr>
      </w:pPr>
    </w:p>
    <w:p w:rsidR="00B65331" w:rsidRDefault="00B65331" w:rsidP="00B65331">
      <w:pPr>
        <w:spacing w:after="0" w:line="240" w:lineRule="auto"/>
        <w:contextualSpacing/>
        <w:jc w:val="center"/>
        <w:rPr>
          <w:b/>
          <w:color w:val="000000"/>
          <w:sz w:val="24"/>
          <w:szCs w:val="24"/>
        </w:rPr>
      </w:pPr>
    </w:p>
    <w:p w:rsidR="0055330A" w:rsidRPr="0046039D" w:rsidRDefault="0055330A" w:rsidP="000E2E32">
      <w:pPr>
        <w:spacing w:after="0" w:line="240" w:lineRule="auto"/>
        <w:contextualSpacing/>
        <w:jc w:val="center"/>
        <w:rPr>
          <w:rFonts w:cs="Times New Roman"/>
          <w:sz w:val="24"/>
          <w:szCs w:val="24"/>
        </w:rPr>
      </w:pPr>
    </w:p>
    <w:p w:rsidR="00B60F29" w:rsidRPr="00395168" w:rsidRDefault="00B60F29" w:rsidP="00D21382">
      <w:pPr>
        <w:spacing w:after="0" w:line="240" w:lineRule="auto"/>
        <w:contextualSpacing/>
        <w:jc w:val="center"/>
        <w:rPr>
          <w:b/>
          <w:sz w:val="24"/>
          <w:szCs w:val="24"/>
        </w:rPr>
      </w:pPr>
      <w:r w:rsidRPr="00395168">
        <w:rPr>
          <w:b/>
          <w:sz w:val="24"/>
          <w:szCs w:val="24"/>
        </w:rPr>
        <w:t xml:space="preserve">Краткий проблемный аналитический обзор по итогам НОКОД </w:t>
      </w:r>
      <w:r w:rsidR="00D200FA">
        <w:rPr>
          <w:b/>
          <w:sz w:val="24"/>
          <w:szCs w:val="24"/>
        </w:rPr>
        <w:t>в</w:t>
      </w:r>
      <w:r w:rsidRPr="00395168">
        <w:rPr>
          <w:b/>
          <w:sz w:val="24"/>
          <w:szCs w:val="24"/>
        </w:rPr>
        <w:t xml:space="preserve"> ДОУ</w:t>
      </w:r>
    </w:p>
    <w:p w:rsidR="00B60F29" w:rsidRPr="00395168" w:rsidRDefault="00B60F29" w:rsidP="00D21382">
      <w:pPr>
        <w:spacing w:after="0" w:line="240" w:lineRule="auto"/>
        <w:contextualSpacing/>
        <w:rPr>
          <w:sz w:val="24"/>
          <w:szCs w:val="24"/>
        </w:rPr>
      </w:pPr>
    </w:p>
    <w:p w:rsidR="00395168" w:rsidRPr="00395168" w:rsidRDefault="00B60F29" w:rsidP="00D21382">
      <w:pPr>
        <w:spacing w:after="0" w:line="240" w:lineRule="auto"/>
        <w:contextualSpacing/>
        <w:jc w:val="center"/>
        <w:rPr>
          <w:sz w:val="24"/>
          <w:szCs w:val="24"/>
          <w:u w:val="single"/>
        </w:rPr>
      </w:pPr>
      <w:r w:rsidRPr="00395168">
        <w:rPr>
          <w:sz w:val="24"/>
          <w:szCs w:val="24"/>
          <w:u w:val="single"/>
        </w:rPr>
        <w:t>Муниципальное казённое дошкольное образовательное учреждение «Детский сад «Северок» села Ванавара»</w:t>
      </w:r>
    </w:p>
    <w:p w:rsidR="00B60F29" w:rsidRPr="00395168" w:rsidRDefault="00B60F29" w:rsidP="00D21382">
      <w:pPr>
        <w:spacing w:after="0" w:line="240" w:lineRule="auto"/>
        <w:contextualSpacing/>
        <w:jc w:val="center"/>
        <w:rPr>
          <w:sz w:val="24"/>
          <w:szCs w:val="24"/>
          <w:u w:val="single"/>
        </w:rPr>
      </w:pPr>
      <w:r w:rsidRPr="00395168">
        <w:rPr>
          <w:sz w:val="24"/>
          <w:szCs w:val="24"/>
          <w:u w:val="single"/>
        </w:rPr>
        <w:t>(учётный номер в аналитической таблице ДОУ – 17</w:t>
      </w:r>
      <w:proofErr w:type="gramStart"/>
      <w:r w:rsidRPr="00395168">
        <w:rPr>
          <w:sz w:val="24"/>
          <w:szCs w:val="24"/>
          <w:u w:val="single"/>
        </w:rPr>
        <w:t xml:space="preserve"> )</w:t>
      </w:r>
      <w:proofErr w:type="gramEnd"/>
    </w:p>
    <w:p w:rsidR="00395168" w:rsidRPr="00395168" w:rsidRDefault="00395168" w:rsidP="00D21382">
      <w:pPr>
        <w:spacing w:after="0" w:line="240" w:lineRule="auto"/>
        <w:contextualSpacing/>
        <w:rPr>
          <w:sz w:val="24"/>
          <w:szCs w:val="24"/>
        </w:rPr>
      </w:pPr>
    </w:p>
    <w:p w:rsidR="00B60F29" w:rsidRPr="00395168" w:rsidRDefault="00B60F29" w:rsidP="00D21382">
      <w:pPr>
        <w:spacing w:after="0" w:line="240" w:lineRule="auto"/>
        <w:contextualSpacing/>
        <w:jc w:val="both"/>
        <w:rPr>
          <w:sz w:val="24"/>
          <w:szCs w:val="24"/>
        </w:rPr>
      </w:pPr>
      <w:r w:rsidRPr="00395168">
        <w:rPr>
          <w:sz w:val="24"/>
          <w:szCs w:val="24"/>
        </w:rPr>
        <w:t xml:space="preserve">В итоговой оценочно-аналитической картине ДОУ общая оценка по критерию 4  «Удовлетворенность качеством образовательной деятельности организации» – в высокоуровневом оценочном диапазоне (выше 0,8 от максимального значения по критерию). Внутри этого критерия нет локальных оценочных позиций с баллами ниже 0,5 </w:t>
      </w:r>
      <w:proofErr w:type="gramStart"/>
      <w:r w:rsidRPr="00395168">
        <w:rPr>
          <w:sz w:val="24"/>
          <w:szCs w:val="24"/>
        </w:rPr>
        <w:t>от</w:t>
      </w:r>
      <w:proofErr w:type="gramEnd"/>
      <w:r w:rsidRPr="00395168">
        <w:rPr>
          <w:sz w:val="24"/>
          <w:szCs w:val="24"/>
        </w:rPr>
        <w:t xml:space="preserve"> максимального по позиции. По трём другим интегральным оценочным факторам (критериям) оценочные баллы – в удовлетворительном диапазоне оценок (не меньше 0,5 и не больше 0,8 от максимального балла за критерий). Внутри каждого из этих критериев есть отдельные аналитические позиции с оценками ниже 0,5 </w:t>
      </w:r>
      <w:proofErr w:type="gramStart"/>
      <w:r w:rsidRPr="00395168">
        <w:rPr>
          <w:sz w:val="24"/>
          <w:szCs w:val="24"/>
        </w:rPr>
        <w:t>от</w:t>
      </w:r>
      <w:proofErr w:type="gramEnd"/>
      <w:r w:rsidRPr="00395168">
        <w:rPr>
          <w:sz w:val="24"/>
          <w:szCs w:val="24"/>
        </w:rPr>
        <w:t xml:space="preserve"> максимальной по позиции. В критерии 1 «Открытость и доступность информации об организации» низкоуровневая оценочная позиция в показателе 1.1 «</w:t>
      </w:r>
      <w:r w:rsidRPr="00395168">
        <w:rPr>
          <w:rFonts w:ascii="Calibri" w:eastAsia="Calibri" w:hAnsi="Calibri" w:cs="Times New Roman"/>
          <w:sz w:val="24"/>
          <w:szCs w:val="24"/>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w:t>
      </w:r>
      <w:r w:rsidRPr="00395168">
        <w:rPr>
          <w:sz w:val="24"/>
          <w:szCs w:val="24"/>
        </w:rPr>
        <w:t xml:space="preserve">». В критерии 2  «Комфортность условий, в которых осуществляется образовательная деятельность» одна низкобалльная позиция – 2.5 «Наличие условий организации обучения и воспитания воспитанников с ограниченными возможностями здоровья и инвалидов». </w:t>
      </w:r>
      <w:proofErr w:type="gramStart"/>
      <w:r w:rsidRPr="00395168">
        <w:rPr>
          <w:sz w:val="24"/>
          <w:szCs w:val="24"/>
        </w:rPr>
        <w:t>В критерии 3 «Доброжелательность, вежливость, компетентность работников организаций» – низкие оценки в обобщённой комбинации показателей 3.10</w:t>
      </w:r>
      <w:r w:rsidR="000F6915">
        <w:rPr>
          <w:sz w:val="24"/>
          <w:szCs w:val="24"/>
        </w:rPr>
        <w:t xml:space="preserve"> – </w:t>
      </w:r>
      <w:r w:rsidRPr="00395168">
        <w:rPr>
          <w:sz w:val="24"/>
          <w:szCs w:val="24"/>
        </w:rPr>
        <w:t xml:space="preserve">3.11, характеризующей суммарную долю </w:t>
      </w:r>
      <w:r w:rsidRPr="00395168">
        <w:rPr>
          <w:rFonts w:ascii="Calibri" w:eastAsia="Calibri" w:hAnsi="Calibri" w:cs="Times New Roman"/>
          <w:sz w:val="24"/>
          <w:szCs w:val="24"/>
        </w:rPr>
        <w:t xml:space="preserve">педагогических работников, прошедших аттестацию на присвоение высшей и первой квалификационной категории, а также 0 баллов в показателе </w:t>
      </w:r>
      <w:r w:rsidRPr="00395168">
        <w:rPr>
          <w:sz w:val="24"/>
          <w:szCs w:val="24"/>
        </w:rPr>
        <w:t>3.12 «</w:t>
      </w:r>
      <w:r w:rsidRPr="00395168">
        <w:rPr>
          <w:rFonts w:ascii="Calibri" w:eastAsia="Calibri" w:hAnsi="Calibri" w:cs="Times New Roman"/>
          <w:sz w:val="24"/>
          <w:szCs w:val="24"/>
        </w:rPr>
        <w:t>Доля педагогических работников – призеров в региональных, федеральных и международных конкурсах, от общего числа педагогических работников</w:t>
      </w:r>
      <w:r w:rsidRPr="00395168">
        <w:rPr>
          <w:sz w:val="24"/>
          <w:szCs w:val="24"/>
        </w:rPr>
        <w:t>».</w:t>
      </w:r>
      <w:proofErr w:type="gramEnd"/>
      <w:r w:rsidRPr="00395168">
        <w:rPr>
          <w:sz w:val="24"/>
          <w:szCs w:val="24"/>
        </w:rPr>
        <w:t xml:space="preserve"> Во всём массиве аналитических данных все низкоуровневые оценочные позиции – только из категории «объективных</w:t>
      </w:r>
      <w:r w:rsidR="000F6915">
        <w:rPr>
          <w:sz w:val="24"/>
          <w:szCs w:val="24"/>
        </w:rPr>
        <w:t>» факторов</w:t>
      </w:r>
      <w:r w:rsidRPr="00395168">
        <w:rPr>
          <w:sz w:val="24"/>
          <w:szCs w:val="24"/>
        </w:rPr>
        <w:t xml:space="preserve">, не зависящих от мнения заказчиков и потребителей услуг (родителей воспитанников). В общем рейтинге у ДОУ  – 7 место, в «субъективном» (рэнкинге)  – 8 место, в «объективном» рэнкинге – 10 место (причём общий балл по всем «объективным» показателям – ниже 50%-ного уровня </w:t>
      </w:r>
      <w:proofErr w:type="gramStart"/>
      <w:r w:rsidRPr="00395168">
        <w:rPr>
          <w:sz w:val="24"/>
          <w:szCs w:val="24"/>
        </w:rPr>
        <w:t>от</w:t>
      </w:r>
      <w:proofErr w:type="gramEnd"/>
      <w:r w:rsidRPr="00395168">
        <w:rPr>
          <w:sz w:val="24"/>
          <w:szCs w:val="24"/>
        </w:rPr>
        <w:t xml:space="preserve"> максимально возможного). В раздельном рейтинге (по сумме мест «объективного» и «субъективного» рэнкингов) ДОУ делит 8-9 места </w:t>
      </w:r>
      <w:proofErr w:type="gramStart"/>
      <w:r w:rsidRPr="00395168">
        <w:rPr>
          <w:sz w:val="24"/>
          <w:szCs w:val="24"/>
        </w:rPr>
        <w:t>с</w:t>
      </w:r>
      <w:proofErr w:type="gramEnd"/>
      <w:r w:rsidRPr="00395168">
        <w:rPr>
          <w:sz w:val="24"/>
          <w:szCs w:val="24"/>
        </w:rPr>
        <w:t xml:space="preserve"> </w:t>
      </w:r>
      <w:r w:rsidR="00395168" w:rsidRPr="00395168">
        <w:rPr>
          <w:sz w:val="24"/>
          <w:szCs w:val="24"/>
        </w:rPr>
        <w:t>другим ДОУ</w:t>
      </w:r>
      <w:r w:rsidRPr="00395168">
        <w:rPr>
          <w:sz w:val="24"/>
          <w:szCs w:val="24"/>
        </w:rPr>
        <w:t>.</w:t>
      </w:r>
    </w:p>
    <w:p w:rsidR="00B60F29" w:rsidRPr="00395168" w:rsidRDefault="00B60F29" w:rsidP="00D21382">
      <w:pPr>
        <w:spacing w:after="0" w:line="240" w:lineRule="auto"/>
        <w:contextualSpacing/>
        <w:jc w:val="center"/>
        <w:rPr>
          <w:sz w:val="24"/>
          <w:szCs w:val="24"/>
        </w:rPr>
      </w:pPr>
      <w:r w:rsidRPr="00395168">
        <w:rPr>
          <w:sz w:val="24"/>
          <w:szCs w:val="24"/>
        </w:rPr>
        <w:t>Аналитические комментарии</w:t>
      </w:r>
    </w:p>
    <w:p w:rsidR="00B60F29" w:rsidRPr="00395168" w:rsidRDefault="00B60F29" w:rsidP="00D21382">
      <w:pPr>
        <w:widowControl w:val="0"/>
        <w:spacing w:after="0" w:line="240" w:lineRule="auto"/>
        <w:contextualSpacing/>
        <w:jc w:val="both"/>
        <w:rPr>
          <w:rFonts w:cs="Times New Roman"/>
          <w:sz w:val="24"/>
          <w:szCs w:val="24"/>
        </w:rPr>
      </w:pPr>
    </w:p>
    <w:p w:rsidR="00B60F29" w:rsidRPr="00395168" w:rsidRDefault="00B60F29" w:rsidP="00D21382">
      <w:pPr>
        <w:widowControl w:val="0"/>
        <w:spacing w:after="0" w:line="240" w:lineRule="auto"/>
        <w:contextualSpacing/>
        <w:jc w:val="both"/>
        <w:rPr>
          <w:rFonts w:cs="Times New Roman"/>
          <w:sz w:val="24"/>
          <w:szCs w:val="24"/>
        </w:rPr>
      </w:pPr>
      <w:proofErr w:type="gramStart"/>
      <w:r w:rsidRPr="00395168">
        <w:rPr>
          <w:rFonts w:cs="Times New Roman"/>
          <w:sz w:val="24"/>
          <w:szCs w:val="24"/>
        </w:rPr>
        <w:t>Раздельный рейтинг (рейтинг сумм мест в «объективном» и «субъективном» рэнкингах)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395168">
        <w:rPr>
          <w:rFonts w:cs="Times New Roman"/>
          <w:sz w:val="24"/>
          <w:szCs w:val="24"/>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деятельностных полях.  </w:t>
      </w:r>
    </w:p>
    <w:p w:rsidR="00B60F29" w:rsidRPr="00395168" w:rsidRDefault="00B60F29" w:rsidP="00D21382">
      <w:pPr>
        <w:spacing w:after="0" w:line="240" w:lineRule="auto"/>
        <w:contextualSpacing/>
        <w:jc w:val="both"/>
        <w:rPr>
          <w:sz w:val="24"/>
          <w:szCs w:val="24"/>
        </w:rPr>
      </w:pPr>
    </w:p>
    <w:p w:rsidR="00B60F29" w:rsidRPr="00395168" w:rsidRDefault="00B60F29" w:rsidP="00D21382">
      <w:pPr>
        <w:spacing w:after="0" w:line="240" w:lineRule="auto"/>
        <w:contextualSpacing/>
        <w:jc w:val="both"/>
        <w:rPr>
          <w:sz w:val="24"/>
          <w:szCs w:val="24"/>
        </w:rPr>
      </w:pPr>
      <w:proofErr w:type="gramStart"/>
      <w:r w:rsidRPr="00395168">
        <w:rPr>
          <w:sz w:val="24"/>
          <w:szCs w:val="24"/>
        </w:rPr>
        <w:t>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ОУ в отдельности.</w:t>
      </w:r>
      <w:proofErr w:type="gramEnd"/>
    </w:p>
    <w:p w:rsidR="000927AA" w:rsidRPr="00395168" w:rsidRDefault="000927AA" w:rsidP="00D21382">
      <w:pPr>
        <w:spacing w:after="0" w:line="240" w:lineRule="auto"/>
        <w:contextualSpacing/>
        <w:jc w:val="both"/>
        <w:rPr>
          <w:sz w:val="24"/>
          <w:szCs w:val="24"/>
          <w:u w:val="single"/>
        </w:rPr>
      </w:pPr>
    </w:p>
    <w:p w:rsidR="00B60F29" w:rsidRPr="00395168" w:rsidRDefault="00B60F29" w:rsidP="00D21382">
      <w:pPr>
        <w:spacing w:after="0" w:line="240" w:lineRule="auto"/>
        <w:contextualSpacing/>
        <w:jc w:val="both"/>
        <w:rPr>
          <w:sz w:val="24"/>
          <w:szCs w:val="24"/>
        </w:rPr>
      </w:pPr>
      <w:r w:rsidRPr="00395168">
        <w:rPr>
          <w:sz w:val="24"/>
          <w:szCs w:val="24"/>
          <w:u w:val="single"/>
        </w:rPr>
        <w:lastRenderedPageBreak/>
        <w:t>Инструктивное примечание:</w:t>
      </w:r>
      <w:r w:rsidRPr="00395168">
        <w:rPr>
          <w:sz w:val="24"/>
          <w:szCs w:val="24"/>
        </w:rPr>
        <w:t xml:space="preserve">  Для выявления необеспеченных (западающих, проблемных) оценочных позиций объективного (не зависящего от мнений людей) характера руководители ОУ смотрят представленные Оператором НОКОД формы </w:t>
      </w:r>
      <w:proofErr w:type="gramStart"/>
      <w:r w:rsidRPr="00395168">
        <w:rPr>
          <w:sz w:val="24"/>
          <w:szCs w:val="24"/>
        </w:rPr>
        <w:t>чек-листов</w:t>
      </w:r>
      <w:proofErr w:type="gramEnd"/>
      <w:r w:rsidRPr="00395168">
        <w:rPr>
          <w:sz w:val="24"/>
          <w:szCs w:val="24"/>
        </w:rPr>
        <w:t xml:space="preserve"> исследования по ОУ. </w:t>
      </w:r>
    </w:p>
    <w:p w:rsidR="009C2784" w:rsidRPr="00395168" w:rsidRDefault="009C2784" w:rsidP="00D21382">
      <w:pPr>
        <w:spacing w:after="0" w:line="240" w:lineRule="auto"/>
        <w:contextualSpacing/>
        <w:jc w:val="both"/>
        <w:rPr>
          <w:sz w:val="24"/>
          <w:szCs w:val="24"/>
        </w:rPr>
      </w:pPr>
    </w:p>
    <w:sectPr w:rsidR="009C2784" w:rsidRPr="00395168"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54D5"/>
    <w:rsid w:val="00056C3E"/>
    <w:rsid w:val="000575A2"/>
    <w:rsid w:val="000850EE"/>
    <w:rsid w:val="000927AA"/>
    <w:rsid w:val="00095821"/>
    <w:rsid w:val="000C7B42"/>
    <w:rsid w:val="000D4BA8"/>
    <w:rsid w:val="000E2E32"/>
    <w:rsid w:val="000E63F1"/>
    <w:rsid w:val="000F6915"/>
    <w:rsid w:val="001008AB"/>
    <w:rsid w:val="00120EC2"/>
    <w:rsid w:val="001449D1"/>
    <w:rsid w:val="00144FEB"/>
    <w:rsid w:val="00147F09"/>
    <w:rsid w:val="00196906"/>
    <w:rsid w:val="001A22F0"/>
    <w:rsid w:val="001B2F76"/>
    <w:rsid w:val="001D2492"/>
    <w:rsid w:val="001E71E4"/>
    <w:rsid w:val="00206F91"/>
    <w:rsid w:val="002809E8"/>
    <w:rsid w:val="002E4C13"/>
    <w:rsid w:val="00320644"/>
    <w:rsid w:val="003213DD"/>
    <w:rsid w:val="00321DF1"/>
    <w:rsid w:val="00322897"/>
    <w:rsid w:val="0033064F"/>
    <w:rsid w:val="00330AE2"/>
    <w:rsid w:val="003878DD"/>
    <w:rsid w:val="00395168"/>
    <w:rsid w:val="003A0477"/>
    <w:rsid w:val="003A39E6"/>
    <w:rsid w:val="003A6ED9"/>
    <w:rsid w:val="003C3A9C"/>
    <w:rsid w:val="003D36BA"/>
    <w:rsid w:val="004201E5"/>
    <w:rsid w:val="00423EB8"/>
    <w:rsid w:val="0044415C"/>
    <w:rsid w:val="00452362"/>
    <w:rsid w:val="00454CEF"/>
    <w:rsid w:val="00473DC7"/>
    <w:rsid w:val="00474607"/>
    <w:rsid w:val="00483538"/>
    <w:rsid w:val="00485DD4"/>
    <w:rsid w:val="00487F2A"/>
    <w:rsid w:val="004A0CC6"/>
    <w:rsid w:val="004B63DD"/>
    <w:rsid w:val="004E6B3C"/>
    <w:rsid w:val="004F2919"/>
    <w:rsid w:val="004F4490"/>
    <w:rsid w:val="00547383"/>
    <w:rsid w:val="0055330A"/>
    <w:rsid w:val="00553E9B"/>
    <w:rsid w:val="005865C7"/>
    <w:rsid w:val="005952DC"/>
    <w:rsid w:val="005954D5"/>
    <w:rsid w:val="005979E8"/>
    <w:rsid w:val="005C2CAC"/>
    <w:rsid w:val="005E22F1"/>
    <w:rsid w:val="00603587"/>
    <w:rsid w:val="00611EA8"/>
    <w:rsid w:val="0064435C"/>
    <w:rsid w:val="00665828"/>
    <w:rsid w:val="00676A6C"/>
    <w:rsid w:val="00685381"/>
    <w:rsid w:val="006A5D2F"/>
    <w:rsid w:val="006A651E"/>
    <w:rsid w:val="006D5125"/>
    <w:rsid w:val="006E0E5C"/>
    <w:rsid w:val="006E5153"/>
    <w:rsid w:val="006E7BBA"/>
    <w:rsid w:val="006F33B8"/>
    <w:rsid w:val="006F4E05"/>
    <w:rsid w:val="00714357"/>
    <w:rsid w:val="00745667"/>
    <w:rsid w:val="00767ED0"/>
    <w:rsid w:val="0077007A"/>
    <w:rsid w:val="00771D5A"/>
    <w:rsid w:val="007D1072"/>
    <w:rsid w:val="007D6F61"/>
    <w:rsid w:val="00805DB7"/>
    <w:rsid w:val="00813762"/>
    <w:rsid w:val="00814B5E"/>
    <w:rsid w:val="00822BA1"/>
    <w:rsid w:val="008B113E"/>
    <w:rsid w:val="008C070B"/>
    <w:rsid w:val="008D34BB"/>
    <w:rsid w:val="008D4FE5"/>
    <w:rsid w:val="00952D13"/>
    <w:rsid w:val="00964B37"/>
    <w:rsid w:val="0097380C"/>
    <w:rsid w:val="00985C01"/>
    <w:rsid w:val="009C2784"/>
    <w:rsid w:val="009C4A72"/>
    <w:rsid w:val="009D7790"/>
    <w:rsid w:val="00A27CAA"/>
    <w:rsid w:val="00A32812"/>
    <w:rsid w:val="00A414F1"/>
    <w:rsid w:val="00A52E67"/>
    <w:rsid w:val="00A76B18"/>
    <w:rsid w:val="00AC4729"/>
    <w:rsid w:val="00AD10E9"/>
    <w:rsid w:val="00B0684F"/>
    <w:rsid w:val="00B33621"/>
    <w:rsid w:val="00B3390C"/>
    <w:rsid w:val="00B60F29"/>
    <w:rsid w:val="00B61D65"/>
    <w:rsid w:val="00B65331"/>
    <w:rsid w:val="00BA595A"/>
    <w:rsid w:val="00BD5052"/>
    <w:rsid w:val="00BD7D12"/>
    <w:rsid w:val="00C25A00"/>
    <w:rsid w:val="00C27C97"/>
    <w:rsid w:val="00C317C4"/>
    <w:rsid w:val="00C46F48"/>
    <w:rsid w:val="00C666FC"/>
    <w:rsid w:val="00C7127C"/>
    <w:rsid w:val="00C93623"/>
    <w:rsid w:val="00CB6EC3"/>
    <w:rsid w:val="00CC2F87"/>
    <w:rsid w:val="00CE4E00"/>
    <w:rsid w:val="00CF50B4"/>
    <w:rsid w:val="00D200FA"/>
    <w:rsid w:val="00D21382"/>
    <w:rsid w:val="00D34AD1"/>
    <w:rsid w:val="00D60F21"/>
    <w:rsid w:val="00D62446"/>
    <w:rsid w:val="00D848A8"/>
    <w:rsid w:val="00DA7FD7"/>
    <w:rsid w:val="00DB65AF"/>
    <w:rsid w:val="00DC4D08"/>
    <w:rsid w:val="00DC678A"/>
    <w:rsid w:val="00DD1150"/>
    <w:rsid w:val="00DF52EA"/>
    <w:rsid w:val="00E36826"/>
    <w:rsid w:val="00E408A6"/>
    <w:rsid w:val="00E737A3"/>
    <w:rsid w:val="00E7394C"/>
    <w:rsid w:val="00EB741D"/>
    <w:rsid w:val="00F12D5D"/>
    <w:rsid w:val="00F232D3"/>
    <w:rsid w:val="00F52A75"/>
    <w:rsid w:val="00F60581"/>
    <w:rsid w:val="00F8102F"/>
    <w:rsid w:val="00FB06F9"/>
    <w:rsid w:val="00FE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184510700">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marfin</cp:lastModifiedBy>
  <cp:revision>10</cp:revision>
  <dcterms:created xsi:type="dcterms:W3CDTF">2017-10-27T15:05:00Z</dcterms:created>
  <dcterms:modified xsi:type="dcterms:W3CDTF">2017-11-24T03:01:00Z</dcterms:modified>
</cp:coreProperties>
</file>